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0AE05">
      <w:pPr>
        <w:pStyle w:val="19"/>
        <w:ind w:firstLine="280" w:firstLineChars="100"/>
        <w:rPr>
          <w:rFonts w:ascii="Times New Roman" w:hAnsi="Times New Roman" w:cs="Times New Roman"/>
          <w:color w:val="auto"/>
          <w:sz w:val="28"/>
          <w:szCs w:val="28"/>
        </w:rPr>
      </w:pPr>
      <w:bookmarkStart w:id="38" w:name="_GoBack"/>
      <w:r>
        <w:rPr>
          <w:rFonts w:ascii="Times New Roman" w:hAnsi="Times New Roman" w:cs="Times New Roman"/>
          <w:color w:val="auto"/>
          <w:sz w:val="28"/>
          <w:szCs w:val="28"/>
        </w:rPr>
        <w:t>卫生标准制（修）订项目编号：</w:t>
      </w:r>
    </w:p>
    <w:p w14:paraId="1BF45757">
      <w:pPr>
        <w:pStyle w:val="19"/>
        <w:jc w:val="center"/>
        <w:rPr>
          <w:rFonts w:ascii="Times New Roman" w:hAnsi="Times New Roman" w:eastAsia="黑体" w:cs="Times New Roman"/>
          <w:color w:val="auto"/>
          <w:sz w:val="44"/>
          <w:szCs w:val="44"/>
        </w:rPr>
      </w:pPr>
    </w:p>
    <w:p w14:paraId="77BDD927">
      <w:pPr>
        <w:pStyle w:val="19"/>
        <w:jc w:val="center"/>
        <w:rPr>
          <w:rFonts w:ascii="Times New Roman" w:hAnsi="Times New Roman" w:eastAsia="黑体" w:cs="Times New Roman"/>
          <w:color w:val="auto"/>
          <w:sz w:val="44"/>
          <w:szCs w:val="44"/>
        </w:rPr>
      </w:pPr>
    </w:p>
    <w:p w14:paraId="53C72E54">
      <w:pPr>
        <w:pStyle w:val="19"/>
        <w:jc w:val="center"/>
        <w:rPr>
          <w:rFonts w:ascii="Times New Roman" w:hAnsi="Times New Roman" w:eastAsia="黑体" w:cs="Times New Roman"/>
          <w:color w:val="auto"/>
          <w:sz w:val="44"/>
          <w:szCs w:val="44"/>
        </w:rPr>
      </w:pPr>
    </w:p>
    <w:p w14:paraId="562B609F">
      <w:pPr>
        <w:pStyle w:val="19"/>
        <w:jc w:val="center"/>
        <w:rPr>
          <w:rFonts w:ascii="Times New Roman" w:hAnsi="Times New Roman" w:eastAsia="黑体" w:cs="Times New Roman"/>
          <w:color w:val="auto"/>
          <w:sz w:val="44"/>
          <w:szCs w:val="44"/>
        </w:rPr>
      </w:pPr>
    </w:p>
    <w:p w14:paraId="51695693">
      <w:pPr>
        <w:pStyle w:val="19"/>
        <w:jc w:val="center"/>
        <w:rPr>
          <w:rFonts w:ascii="Times New Roman" w:hAnsi="Times New Roman" w:eastAsia="黑体" w:cs="Times New Roman"/>
          <w:color w:val="auto"/>
          <w:sz w:val="44"/>
          <w:szCs w:val="44"/>
        </w:rPr>
      </w:pPr>
    </w:p>
    <w:p w14:paraId="59BE2C08">
      <w:pPr>
        <w:pStyle w:val="19"/>
        <w:jc w:val="center"/>
        <w:rPr>
          <w:rFonts w:ascii="Times New Roman" w:hAnsi="Times New Roman" w:eastAsia="黑体" w:cs="Times New Roman"/>
          <w:color w:val="auto"/>
          <w:sz w:val="44"/>
          <w:szCs w:val="44"/>
        </w:rPr>
      </w:pPr>
      <w:r>
        <w:rPr>
          <w:rFonts w:hint="eastAsia" w:ascii="Times New Roman" w:hAnsi="Times New Roman" w:eastAsia="黑体" w:cs="Times New Roman"/>
          <w:color w:val="auto"/>
          <w:sz w:val="44"/>
          <w:szCs w:val="44"/>
        </w:rPr>
        <w:t>工作场所空气中草铵膦职业接触限值及检测技术规程</w:t>
      </w:r>
    </w:p>
    <w:p w14:paraId="0FB762E3">
      <w:pPr>
        <w:autoSpaceDE w:val="0"/>
        <w:autoSpaceDN w:val="0"/>
        <w:adjustRightInd w:val="0"/>
        <w:jc w:val="center"/>
        <w:rPr>
          <w:color w:val="auto"/>
          <w:sz w:val="28"/>
          <w:szCs w:val="28"/>
        </w:rPr>
      </w:pPr>
      <w:r>
        <w:rPr>
          <w:color w:val="auto"/>
          <w:sz w:val="28"/>
          <w:szCs w:val="28"/>
        </w:rPr>
        <w:t>（</w:t>
      </w:r>
      <w:r>
        <w:rPr>
          <w:rFonts w:hint="eastAsia"/>
          <w:color w:val="auto"/>
          <w:sz w:val="28"/>
          <w:szCs w:val="28"/>
        </w:rPr>
        <w:t>Regulations for</w:t>
      </w:r>
      <w:r>
        <w:rPr>
          <w:rFonts w:hint="eastAsia"/>
          <w:color w:val="auto"/>
          <w:sz w:val="28"/>
          <w:szCs w:val="28"/>
          <w:lang w:val="en-US" w:eastAsia="zh-CN"/>
        </w:rPr>
        <w:t xml:space="preserve"> o</w:t>
      </w:r>
      <w:r>
        <w:rPr>
          <w:color w:val="auto"/>
          <w:sz w:val="28"/>
          <w:szCs w:val="28"/>
        </w:rPr>
        <w:t xml:space="preserve">ccupational exposure limit and detection </w:t>
      </w:r>
      <w:r>
        <w:rPr>
          <w:rFonts w:hint="eastAsia"/>
          <w:color w:val="auto"/>
          <w:sz w:val="28"/>
          <w:szCs w:val="28"/>
        </w:rPr>
        <w:t>technique</w:t>
      </w:r>
      <w:r>
        <w:rPr>
          <w:rFonts w:hint="eastAsia"/>
          <w:color w:val="auto"/>
          <w:sz w:val="28"/>
          <w:szCs w:val="28"/>
          <w:lang w:val="en-US" w:eastAsia="zh-CN"/>
        </w:rPr>
        <w:t xml:space="preserve"> </w:t>
      </w:r>
      <w:r>
        <w:rPr>
          <w:color w:val="auto"/>
          <w:sz w:val="28"/>
          <w:szCs w:val="28"/>
        </w:rPr>
        <w:t>for glufosinate ammonium in the air of workplace）</w:t>
      </w:r>
    </w:p>
    <w:p w14:paraId="1F8FDA03">
      <w:pPr>
        <w:pStyle w:val="19"/>
        <w:jc w:val="center"/>
        <w:rPr>
          <w:rFonts w:ascii="Times New Roman" w:hAnsi="Times New Roman" w:cs="Times New Roman"/>
          <w:color w:val="auto"/>
          <w:sz w:val="28"/>
          <w:szCs w:val="28"/>
        </w:rPr>
      </w:pPr>
      <w:r>
        <w:rPr>
          <w:rFonts w:ascii="Times New Roman" w:hAnsi="Times New Roman" w:cs="Times New Roman"/>
          <w:color w:val="auto"/>
          <w:sz w:val="28"/>
          <w:szCs w:val="28"/>
        </w:rPr>
        <w:t>（</w:t>
      </w:r>
      <w:r>
        <w:rPr>
          <w:rFonts w:hint="eastAsia" w:ascii="Times New Roman" w:hAnsi="Times New Roman" w:cs="Times New Roman"/>
          <w:color w:val="auto"/>
          <w:sz w:val="28"/>
          <w:szCs w:val="28"/>
        </w:rPr>
        <w:t>送审</w:t>
      </w:r>
      <w:r>
        <w:rPr>
          <w:rFonts w:ascii="Times New Roman" w:hAnsi="Times New Roman" w:cs="Times New Roman"/>
          <w:color w:val="auto"/>
          <w:sz w:val="28"/>
          <w:szCs w:val="28"/>
        </w:rPr>
        <w:t>稿）</w:t>
      </w:r>
    </w:p>
    <w:p w14:paraId="48D8BBB5">
      <w:pPr>
        <w:pStyle w:val="19"/>
        <w:jc w:val="center"/>
        <w:rPr>
          <w:rFonts w:ascii="Times New Roman" w:hAnsi="Times New Roman" w:cs="Times New Roman"/>
          <w:b/>
          <w:color w:val="auto"/>
          <w:sz w:val="28"/>
          <w:szCs w:val="28"/>
        </w:rPr>
      </w:pPr>
    </w:p>
    <w:p w14:paraId="0B9ADDE1">
      <w:pPr>
        <w:pStyle w:val="19"/>
        <w:jc w:val="center"/>
        <w:rPr>
          <w:rFonts w:ascii="Times New Roman" w:hAnsi="Times New Roman" w:eastAsia="黑体" w:cs="Times New Roman"/>
          <w:color w:val="auto"/>
          <w:sz w:val="44"/>
          <w:szCs w:val="44"/>
        </w:rPr>
      </w:pPr>
      <w:r>
        <w:rPr>
          <w:rFonts w:ascii="Times New Roman" w:hAnsi="Times New Roman" w:eastAsia="黑体" w:cs="Times New Roman"/>
          <w:color w:val="auto"/>
          <w:sz w:val="44"/>
          <w:szCs w:val="44"/>
        </w:rPr>
        <w:t>编 制 说 明</w:t>
      </w:r>
    </w:p>
    <w:p w14:paraId="234B6394">
      <w:pPr>
        <w:pStyle w:val="19"/>
        <w:jc w:val="center"/>
        <w:rPr>
          <w:rFonts w:ascii="Times New Roman" w:hAnsi="Times New Roman" w:cs="Times New Roman"/>
          <w:b/>
          <w:color w:val="auto"/>
          <w:sz w:val="28"/>
          <w:szCs w:val="28"/>
        </w:rPr>
      </w:pPr>
    </w:p>
    <w:p w14:paraId="13FDF989">
      <w:pPr>
        <w:pStyle w:val="19"/>
        <w:jc w:val="center"/>
        <w:rPr>
          <w:rFonts w:ascii="Times New Roman" w:hAnsi="Times New Roman" w:cs="Times New Roman"/>
          <w:b/>
          <w:color w:val="auto"/>
          <w:sz w:val="28"/>
          <w:szCs w:val="28"/>
        </w:rPr>
      </w:pPr>
    </w:p>
    <w:p w14:paraId="09B7A05B">
      <w:pPr>
        <w:pStyle w:val="19"/>
        <w:jc w:val="center"/>
        <w:rPr>
          <w:rFonts w:ascii="Times New Roman" w:hAnsi="Times New Roman" w:cs="Times New Roman"/>
          <w:b/>
          <w:color w:val="auto"/>
          <w:sz w:val="28"/>
          <w:szCs w:val="28"/>
        </w:rPr>
      </w:pPr>
    </w:p>
    <w:p w14:paraId="08C1A079">
      <w:pPr>
        <w:pStyle w:val="19"/>
        <w:jc w:val="center"/>
        <w:rPr>
          <w:rFonts w:ascii="Times New Roman" w:hAnsi="Times New Roman" w:cs="Times New Roman"/>
          <w:b/>
          <w:color w:val="auto"/>
          <w:sz w:val="32"/>
          <w:szCs w:val="32"/>
        </w:rPr>
      </w:pPr>
    </w:p>
    <w:p w14:paraId="4D8E1C9C">
      <w:pPr>
        <w:pStyle w:val="19"/>
        <w:jc w:val="center"/>
        <w:rPr>
          <w:rFonts w:ascii="Times New Roman" w:hAnsi="Times New Roman" w:cs="Times New Roman"/>
          <w:b/>
          <w:color w:val="auto"/>
          <w:sz w:val="32"/>
          <w:szCs w:val="32"/>
        </w:rPr>
      </w:pPr>
    </w:p>
    <w:p w14:paraId="072AF8F7">
      <w:pPr>
        <w:pStyle w:val="19"/>
        <w:jc w:val="both"/>
        <w:rPr>
          <w:rFonts w:hint="default" w:ascii="Times New Roman" w:hAnsi="Times New Roman" w:eastAsia="宋体" w:cs="Times New Roman"/>
          <w:b/>
          <w:color w:val="auto"/>
          <w:sz w:val="32"/>
          <w:szCs w:val="32"/>
          <w:lang w:val="en-US" w:eastAsia="zh-CN"/>
        </w:rPr>
      </w:pPr>
      <w:r>
        <w:rPr>
          <w:rFonts w:hint="eastAsia" w:ascii="Times New Roman" w:hAnsi="Times New Roman" w:cs="Times New Roman"/>
          <w:b/>
          <w:color w:val="auto"/>
          <w:sz w:val="32"/>
          <w:szCs w:val="32"/>
          <w:lang w:val="en-US" w:eastAsia="zh-CN"/>
        </w:rPr>
        <w:t xml:space="preserve">                                                                                                                                                                                                                                                                                                                                            </w:t>
      </w:r>
    </w:p>
    <w:p w14:paraId="4EC10056">
      <w:pPr>
        <w:pStyle w:val="19"/>
        <w:jc w:val="center"/>
        <w:rPr>
          <w:rFonts w:ascii="Times New Roman" w:hAnsi="Times New Roman" w:cs="Times New Roman"/>
          <w:b/>
          <w:color w:val="auto"/>
          <w:sz w:val="32"/>
          <w:szCs w:val="32"/>
        </w:rPr>
      </w:pPr>
      <w:r>
        <w:rPr>
          <w:rFonts w:ascii="Times New Roman" w:hAnsi="Times New Roman" w:cs="Times New Roman"/>
          <w:b/>
          <w:color w:val="auto"/>
          <w:sz w:val="32"/>
          <w:szCs w:val="32"/>
        </w:rPr>
        <w:t>江苏省疾病预防控制中心</w:t>
      </w:r>
    </w:p>
    <w:p w14:paraId="18029601">
      <w:pPr>
        <w:pStyle w:val="19"/>
        <w:jc w:val="center"/>
        <w:rPr>
          <w:rFonts w:ascii="Times New Roman" w:hAnsi="Times New Roman" w:cs="Times New Roman"/>
          <w:color w:val="auto"/>
          <w:sz w:val="28"/>
          <w:szCs w:val="32"/>
        </w:rPr>
      </w:pPr>
      <w:r>
        <w:rPr>
          <w:rFonts w:ascii="Times New Roman" w:hAnsi="Times New Roman" w:cs="Times New Roman"/>
          <w:color w:val="auto"/>
          <w:sz w:val="28"/>
          <w:szCs w:val="32"/>
        </w:rPr>
        <w:t>202</w:t>
      </w:r>
      <w:r>
        <w:rPr>
          <w:rFonts w:hint="eastAsia" w:ascii="Times New Roman" w:hAnsi="Times New Roman" w:cs="Times New Roman"/>
          <w:color w:val="auto"/>
          <w:sz w:val="28"/>
          <w:szCs w:val="32"/>
        </w:rPr>
        <w:t>4</w:t>
      </w:r>
      <w:r>
        <w:rPr>
          <w:rFonts w:ascii="Times New Roman" w:hAnsi="Times New Roman" w:cs="Times New Roman"/>
          <w:color w:val="auto"/>
          <w:sz w:val="28"/>
          <w:szCs w:val="32"/>
        </w:rPr>
        <w:t>年</w:t>
      </w:r>
      <w:r>
        <w:rPr>
          <w:rFonts w:hint="eastAsia" w:ascii="Times New Roman" w:hAnsi="Times New Roman" w:cs="Times New Roman"/>
          <w:color w:val="auto"/>
          <w:sz w:val="28"/>
          <w:szCs w:val="32"/>
        </w:rPr>
        <w:t>5</w:t>
      </w:r>
      <w:r>
        <w:rPr>
          <w:rFonts w:ascii="Times New Roman" w:hAnsi="Times New Roman" w:cs="Times New Roman"/>
          <w:color w:val="auto"/>
          <w:sz w:val="28"/>
          <w:szCs w:val="32"/>
        </w:rPr>
        <w:t>月</w:t>
      </w:r>
      <w:r>
        <w:rPr>
          <w:rFonts w:hint="eastAsia" w:ascii="Times New Roman" w:hAnsi="Times New Roman" w:cs="Times New Roman"/>
          <w:color w:val="auto"/>
          <w:sz w:val="28"/>
          <w:szCs w:val="32"/>
        </w:rPr>
        <w:t>30</w:t>
      </w:r>
      <w:r>
        <w:rPr>
          <w:rFonts w:ascii="Times New Roman" w:hAnsi="Times New Roman" w:cs="Times New Roman"/>
          <w:color w:val="auto"/>
          <w:sz w:val="28"/>
          <w:szCs w:val="32"/>
        </w:rPr>
        <w:t>日</w:t>
      </w:r>
    </w:p>
    <w:p w14:paraId="658C7802">
      <w:pPr>
        <w:pStyle w:val="19"/>
        <w:jc w:val="center"/>
        <w:rPr>
          <w:rFonts w:ascii="Times New Roman" w:hAnsi="Times New Roman" w:cs="Times New Roman"/>
          <w:color w:val="auto"/>
          <w:sz w:val="28"/>
          <w:szCs w:val="32"/>
        </w:rPr>
        <w:sectPr>
          <w:footerReference r:id="rId3" w:type="default"/>
          <w:footerReference r:id="rId4" w:type="even"/>
          <w:pgSz w:w="11906" w:h="16838"/>
          <w:pgMar w:top="1440" w:right="1797" w:bottom="1440" w:left="1797" w:header="851" w:footer="992" w:gutter="0"/>
          <w:pgBorders>
            <w:top w:val="none" w:sz="0" w:space="0"/>
            <w:left w:val="none" w:sz="0" w:space="0"/>
            <w:bottom w:val="none" w:sz="0" w:space="0"/>
            <w:right w:val="none" w:sz="0" w:space="0"/>
          </w:pgBorders>
          <w:cols w:space="425" w:num="1"/>
          <w:docGrid w:type="lines" w:linePitch="312" w:charSpace="0"/>
        </w:sectPr>
      </w:pPr>
    </w:p>
    <w:p w14:paraId="254F5FDC">
      <w:pPr>
        <w:pStyle w:val="2"/>
        <w:spacing w:before="156" w:beforeLines="50" w:after="0" w:line="500" w:lineRule="exact"/>
        <w:ind w:firstLine="640" w:firstLineChars="200"/>
        <w:rPr>
          <w:rFonts w:eastAsia="黑体"/>
          <w:b w:val="0"/>
          <w:color w:val="auto"/>
          <w:sz w:val="32"/>
          <w:szCs w:val="32"/>
        </w:rPr>
      </w:pPr>
      <w:bookmarkStart w:id="0" w:name="_Toc328591167"/>
      <w:r>
        <w:rPr>
          <w:rFonts w:eastAsia="黑体"/>
          <w:b w:val="0"/>
          <w:color w:val="auto"/>
          <w:sz w:val="32"/>
          <w:szCs w:val="32"/>
        </w:rPr>
        <w:t>一、项目基本情况</w:t>
      </w:r>
    </w:p>
    <w:p w14:paraId="6099B3D9">
      <w:pPr>
        <w:pStyle w:val="2"/>
        <w:spacing w:before="156" w:beforeLines="50" w:after="0" w:line="500" w:lineRule="exact"/>
        <w:ind w:firstLine="600" w:firstLineChars="200"/>
        <w:rPr>
          <w:rFonts w:eastAsia="楷体"/>
          <w:b w:val="0"/>
          <w:color w:val="auto"/>
          <w:sz w:val="30"/>
          <w:szCs w:val="30"/>
        </w:rPr>
      </w:pPr>
      <w:r>
        <w:rPr>
          <w:rFonts w:eastAsia="楷体"/>
          <w:b w:val="0"/>
          <w:color w:val="auto"/>
          <w:sz w:val="30"/>
          <w:szCs w:val="30"/>
        </w:rPr>
        <w:t>（一）任务来源与项目编号</w:t>
      </w:r>
    </w:p>
    <w:p w14:paraId="6C4D9F4D">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《工作场所空气中</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职业接触限值</w:t>
      </w:r>
      <w:r>
        <w:rPr>
          <w:rFonts w:hint="eastAsia" w:ascii="Times New Roman" w:hAnsi="Times New Roman" w:eastAsia="仿宋" w:cs="Times New Roman"/>
          <w:color w:val="auto"/>
          <w:kern w:val="2"/>
          <w:sz w:val="28"/>
          <w:szCs w:val="28"/>
        </w:rPr>
        <w:t>及</w:t>
      </w:r>
      <w:r>
        <w:rPr>
          <w:rFonts w:ascii="Times New Roman" w:hAnsi="Times New Roman" w:eastAsia="仿宋" w:cs="Times New Roman"/>
          <w:color w:val="auto"/>
          <w:kern w:val="2"/>
          <w:sz w:val="28"/>
          <w:szCs w:val="28"/>
        </w:rPr>
        <w:t>检测</w:t>
      </w:r>
      <w:r>
        <w:rPr>
          <w:rFonts w:hint="eastAsia" w:ascii="Times New Roman" w:hAnsi="Times New Roman" w:eastAsia="仿宋" w:cs="Times New Roman"/>
          <w:color w:val="auto"/>
          <w:kern w:val="2"/>
          <w:sz w:val="28"/>
          <w:szCs w:val="28"/>
        </w:rPr>
        <w:t>技术规程</w:t>
      </w:r>
      <w:r>
        <w:rPr>
          <w:rFonts w:ascii="Times New Roman" w:hAnsi="Times New Roman" w:eastAsia="仿宋" w:cs="Times New Roman"/>
          <w:color w:val="auto"/>
          <w:kern w:val="2"/>
          <w:sz w:val="28"/>
          <w:szCs w:val="28"/>
        </w:rPr>
        <w:t>》</w:t>
      </w:r>
      <w:r>
        <w:rPr>
          <w:rFonts w:hint="eastAsia" w:ascii="Times New Roman" w:hAnsi="Times New Roman" w:eastAsia="仿宋" w:cs="Times New Roman"/>
          <w:color w:val="auto"/>
          <w:kern w:val="2"/>
          <w:sz w:val="28"/>
          <w:szCs w:val="28"/>
        </w:rPr>
        <w:t>江苏省地方</w:t>
      </w:r>
      <w:r>
        <w:rPr>
          <w:rFonts w:ascii="Times New Roman" w:hAnsi="Times New Roman" w:eastAsia="仿宋" w:cs="Times New Roman"/>
          <w:color w:val="auto"/>
          <w:kern w:val="2"/>
          <w:sz w:val="28"/>
          <w:szCs w:val="28"/>
        </w:rPr>
        <w:t>标准项目由</w:t>
      </w:r>
      <w:r>
        <w:rPr>
          <w:rFonts w:hint="eastAsia" w:ascii="Times New Roman" w:hAnsi="Times New Roman" w:eastAsia="仿宋" w:cs="Times New Roman"/>
          <w:color w:val="auto"/>
          <w:kern w:val="2"/>
          <w:sz w:val="28"/>
          <w:szCs w:val="28"/>
        </w:rPr>
        <w:t>江苏省市场监督管理局</w:t>
      </w:r>
      <w:r>
        <w:rPr>
          <w:rFonts w:ascii="Times New Roman" w:hAnsi="Times New Roman" w:eastAsia="仿宋" w:cs="Times New Roman"/>
          <w:color w:val="auto"/>
          <w:kern w:val="2"/>
          <w:sz w:val="28"/>
          <w:szCs w:val="28"/>
        </w:rPr>
        <w:t>立项，项目</w:t>
      </w:r>
      <w:r>
        <w:rPr>
          <w:rFonts w:hint="eastAsia" w:ascii="Times New Roman" w:hAnsi="Times New Roman" w:eastAsia="仿宋" w:cs="Times New Roman"/>
          <w:color w:val="auto"/>
          <w:kern w:val="2"/>
          <w:sz w:val="28"/>
          <w:szCs w:val="28"/>
        </w:rPr>
        <w:t>来源为苏市监标[2023]173号</w:t>
      </w:r>
      <w:r>
        <w:rPr>
          <w:rFonts w:ascii="Times New Roman" w:hAnsi="Times New Roman" w:eastAsia="仿宋" w:cs="Times New Roman"/>
          <w:color w:val="auto"/>
          <w:kern w:val="2"/>
          <w:sz w:val="28"/>
          <w:szCs w:val="28"/>
        </w:rPr>
        <w:t>。</w:t>
      </w:r>
    </w:p>
    <w:p w14:paraId="4278384D">
      <w:pPr>
        <w:pStyle w:val="2"/>
        <w:spacing w:before="156" w:beforeLines="50" w:after="0" w:line="500" w:lineRule="exact"/>
        <w:ind w:firstLine="600" w:firstLineChars="200"/>
        <w:rPr>
          <w:rFonts w:eastAsia="楷体"/>
          <w:b w:val="0"/>
          <w:color w:val="auto"/>
          <w:sz w:val="30"/>
          <w:szCs w:val="30"/>
        </w:rPr>
      </w:pPr>
      <w:r>
        <w:rPr>
          <w:rFonts w:eastAsia="楷体"/>
          <w:b w:val="0"/>
          <w:color w:val="auto"/>
          <w:sz w:val="30"/>
          <w:szCs w:val="30"/>
        </w:rPr>
        <w:t>（二）各起草单位和起草人承担的工作</w:t>
      </w:r>
    </w:p>
    <w:p w14:paraId="67FC8E79">
      <w:pPr>
        <w:rPr>
          <w:rFonts w:eastAsia="仿宋"/>
          <w:color w:val="auto"/>
          <w:sz w:val="28"/>
          <w:szCs w:val="28"/>
        </w:rPr>
      </w:pPr>
      <w:r>
        <w:rPr>
          <w:rFonts w:eastAsia="仿宋"/>
          <w:color w:val="auto"/>
          <w:sz w:val="28"/>
          <w:szCs w:val="28"/>
        </w:rPr>
        <w:t>本项目主要参与人员见表1-1。</w:t>
      </w:r>
    </w:p>
    <w:p w14:paraId="2E9E928B">
      <w:pPr>
        <w:jc w:val="center"/>
        <w:rPr>
          <w:rFonts w:eastAsia="仿宋"/>
          <w:color w:val="auto"/>
          <w:szCs w:val="21"/>
        </w:rPr>
      </w:pPr>
      <w:r>
        <w:rPr>
          <w:rFonts w:eastAsia="仿宋"/>
          <w:color w:val="auto"/>
          <w:szCs w:val="21"/>
        </w:rPr>
        <w:t>表1-1 项目人员情况表</w:t>
      </w:r>
    </w:p>
    <w:tbl>
      <w:tblPr>
        <w:tblStyle w:val="21"/>
        <w:tblpPr w:leftFromText="180" w:rightFromText="180" w:vertAnchor="text" w:horzAnchor="page" w:tblpXSpec="center" w:tblpY="1"/>
        <w:tblW w:w="93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996"/>
        <w:gridCol w:w="793"/>
        <w:gridCol w:w="1596"/>
        <w:gridCol w:w="2322"/>
        <w:gridCol w:w="3028"/>
      </w:tblGrid>
      <w:tr w14:paraId="379C2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638" w:type="dxa"/>
          </w:tcPr>
          <w:p w14:paraId="34FB4416">
            <w:pPr>
              <w:adjustRightInd w:val="0"/>
              <w:snapToGrid w:val="0"/>
              <w:jc w:val="center"/>
              <w:rPr>
                <w:rFonts w:eastAsia="仿宋"/>
                <w:b/>
                <w:color w:val="auto"/>
                <w:szCs w:val="21"/>
              </w:rPr>
            </w:pPr>
            <w:r>
              <w:rPr>
                <w:rFonts w:eastAsia="仿宋"/>
                <w:b/>
                <w:color w:val="auto"/>
                <w:szCs w:val="21"/>
              </w:rPr>
              <w:t>序号</w:t>
            </w:r>
          </w:p>
        </w:tc>
        <w:tc>
          <w:tcPr>
            <w:tcW w:w="996" w:type="dxa"/>
            <w:vAlign w:val="center"/>
          </w:tcPr>
          <w:p w14:paraId="74C2ED71">
            <w:pPr>
              <w:adjustRightInd w:val="0"/>
              <w:snapToGrid w:val="0"/>
              <w:jc w:val="center"/>
              <w:rPr>
                <w:rFonts w:eastAsia="仿宋"/>
                <w:b/>
                <w:color w:val="auto"/>
                <w:szCs w:val="21"/>
              </w:rPr>
            </w:pPr>
            <w:r>
              <w:rPr>
                <w:rFonts w:eastAsia="仿宋"/>
                <w:b/>
                <w:color w:val="auto"/>
                <w:szCs w:val="21"/>
              </w:rPr>
              <w:t>姓名</w:t>
            </w:r>
          </w:p>
        </w:tc>
        <w:tc>
          <w:tcPr>
            <w:tcW w:w="793" w:type="dxa"/>
            <w:vAlign w:val="center"/>
          </w:tcPr>
          <w:p w14:paraId="11CD6AC5">
            <w:pPr>
              <w:adjustRightInd w:val="0"/>
              <w:snapToGrid w:val="0"/>
              <w:jc w:val="center"/>
              <w:rPr>
                <w:rFonts w:eastAsia="仿宋"/>
                <w:b/>
                <w:color w:val="auto"/>
                <w:szCs w:val="21"/>
              </w:rPr>
            </w:pPr>
            <w:r>
              <w:rPr>
                <w:rFonts w:eastAsia="仿宋"/>
                <w:b/>
                <w:color w:val="auto"/>
                <w:szCs w:val="21"/>
              </w:rPr>
              <w:t>性别</w:t>
            </w:r>
          </w:p>
        </w:tc>
        <w:tc>
          <w:tcPr>
            <w:tcW w:w="1596" w:type="dxa"/>
            <w:vAlign w:val="center"/>
          </w:tcPr>
          <w:p w14:paraId="4764CAAD">
            <w:pPr>
              <w:adjustRightInd w:val="0"/>
              <w:snapToGrid w:val="0"/>
              <w:jc w:val="center"/>
              <w:rPr>
                <w:rFonts w:eastAsia="仿宋"/>
                <w:b/>
                <w:color w:val="auto"/>
                <w:szCs w:val="21"/>
              </w:rPr>
            </w:pPr>
            <w:r>
              <w:rPr>
                <w:rFonts w:eastAsia="仿宋"/>
                <w:b/>
                <w:color w:val="auto"/>
                <w:szCs w:val="21"/>
              </w:rPr>
              <w:t>职称/职务</w:t>
            </w:r>
          </w:p>
        </w:tc>
        <w:tc>
          <w:tcPr>
            <w:tcW w:w="2322" w:type="dxa"/>
            <w:vAlign w:val="center"/>
          </w:tcPr>
          <w:p w14:paraId="12EBE16D">
            <w:pPr>
              <w:adjustRightInd w:val="0"/>
              <w:snapToGrid w:val="0"/>
              <w:jc w:val="center"/>
              <w:rPr>
                <w:rFonts w:eastAsia="仿宋"/>
                <w:b/>
                <w:color w:val="auto"/>
                <w:szCs w:val="21"/>
              </w:rPr>
            </w:pPr>
            <w:r>
              <w:rPr>
                <w:rFonts w:eastAsia="仿宋"/>
                <w:b/>
                <w:color w:val="auto"/>
                <w:szCs w:val="21"/>
              </w:rPr>
              <w:t>单   位</w:t>
            </w:r>
          </w:p>
        </w:tc>
        <w:tc>
          <w:tcPr>
            <w:tcW w:w="3028" w:type="dxa"/>
          </w:tcPr>
          <w:p w14:paraId="22CC00BA">
            <w:pPr>
              <w:adjustRightInd w:val="0"/>
              <w:snapToGrid w:val="0"/>
              <w:jc w:val="center"/>
              <w:rPr>
                <w:rFonts w:eastAsia="仿宋"/>
                <w:b/>
                <w:color w:val="auto"/>
                <w:szCs w:val="21"/>
              </w:rPr>
            </w:pPr>
            <w:r>
              <w:rPr>
                <w:rFonts w:eastAsia="仿宋"/>
                <w:b/>
                <w:color w:val="auto"/>
                <w:szCs w:val="21"/>
              </w:rPr>
              <w:t>所承担的工作</w:t>
            </w:r>
          </w:p>
        </w:tc>
      </w:tr>
      <w:tr w14:paraId="74A5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6DB97C89">
            <w:pPr>
              <w:adjustRightInd w:val="0"/>
              <w:snapToGrid w:val="0"/>
              <w:jc w:val="center"/>
              <w:rPr>
                <w:rFonts w:eastAsia="仿宋"/>
                <w:color w:val="auto"/>
                <w:szCs w:val="21"/>
              </w:rPr>
            </w:pPr>
            <w:r>
              <w:rPr>
                <w:rFonts w:eastAsia="仿宋"/>
                <w:color w:val="auto"/>
                <w:szCs w:val="21"/>
              </w:rPr>
              <w:t>1</w:t>
            </w:r>
          </w:p>
        </w:tc>
        <w:tc>
          <w:tcPr>
            <w:tcW w:w="996" w:type="dxa"/>
            <w:vAlign w:val="center"/>
          </w:tcPr>
          <w:p w14:paraId="01EAB8F7">
            <w:pPr>
              <w:adjustRightInd w:val="0"/>
              <w:snapToGrid w:val="0"/>
              <w:jc w:val="center"/>
              <w:rPr>
                <w:rFonts w:eastAsia="仿宋"/>
                <w:color w:val="auto"/>
                <w:szCs w:val="21"/>
              </w:rPr>
            </w:pPr>
            <w:r>
              <w:rPr>
                <w:rFonts w:eastAsia="仿宋"/>
                <w:color w:val="auto"/>
                <w:szCs w:val="21"/>
              </w:rPr>
              <w:t>霍宗利</w:t>
            </w:r>
          </w:p>
        </w:tc>
        <w:tc>
          <w:tcPr>
            <w:tcW w:w="793" w:type="dxa"/>
            <w:vAlign w:val="center"/>
          </w:tcPr>
          <w:p w14:paraId="30493912">
            <w:pPr>
              <w:adjustRightInd w:val="0"/>
              <w:snapToGrid w:val="0"/>
              <w:jc w:val="center"/>
              <w:rPr>
                <w:rFonts w:eastAsia="仿宋"/>
                <w:color w:val="auto"/>
                <w:szCs w:val="21"/>
              </w:rPr>
            </w:pPr>
            <w:r>
              <w:rPr>
                <w:rFonts w:eastAsia="仿宋"/>
                <w:color w:val="auto"/>
                <w:szCs w:val="21"/>
              </w:rPr>
              <w:t>男</w:t>
            </w:r>
          </w:p>
        </w:tc>
        <w:tc>
          <w:tcPr>
            <w:tcW w:w="1596" w:type="dxa"/>
            <w:vAlign w:val="center"/>
          </w:tcPr>
          <w:p w14:paraId="1DFCA62C">
            <w:pPr>
              <w:adjustRightInd w:val="0"/>
              <w:snapToGrid w:val="0"/>
              <w:jc w:val="center"/>
              <w:rPr>
                <w:rFonts w:eastAsia="仿宋"/>
                <w:color w:val="auto"/>
                <w:szCs w:val="21"/>
              </w:rPr>
            </w:pPr>
            <w:r>
              <w:rPr>
                <w:rFonts w:eastAsia="仿宋"/>
                <w:color w:val="auto"/>
                <w:szCs w:val="21"/>
              </w:rPr>
              <w:t>副科长/副主任技师</w:t>
            </w:r>
          </w:p>
        </w:tc>
        <w:tc>
          <w:tcPr>
            <w:tcW w:w="2322" w:type="dxa"/>
            <w:vAlign w:val="center"/>
          </w:tcPr>
          <w:p w14:paraId="567D6148">
            <w:pPr>
              <w:adjustRightInd w:val="0"/>
              <w:snapToGrid w:val="0"/>
              <w:jc w:val="center"/>
              <w:rPr>
                <w:rFonts w:eastAsia="仿宋"/>
                <w:color w:val="auto"/>
                <w:szCs w:val="21"/>
              </w:rPr>
            </w:pPr>
            <w:r>
              <w:rPr>
                <w:rFonts w:eastAsia="仿宋"/>
                <w:color w:val="auto"/>
                <w:szCs w:val="21"/>
              </w:rPr>
              <w:t>江苏省疾病预防控制中心</w:t>
            </w:r>
          </w:p>
        </w:tc>
        <w:tc>
          <w:tcPr>
            <w:tcW w:w="3028" w:type="dxa"/>
            <w:vAlign w:val="center"/>
          </w:tcPr>
          <w:p w14:paraId="41ED4EF8">
            <w:pPr>
              <w:adjustRightInd w:val="0"/>
              <w:snapToGrid w:val="0"/>
              <w:jc w:val="center"/>
              <w:rPr>
                <w:rFonts w:eastAsia="仿宋"/>
                <w:color w:val="auto"/>
                <w:szCs w:val="21"/>
              </w:rPr>
            </w:pPr>
            <w:r>
              <w:rPr>
                <w:rFonts w:eastAsia="仿宋"/>
                <w:color w:val="auto"/>
                <w:szCs w:val="21"/>
              </w:rPr>
              <w:t>项目负责人，负责项目的总体设计、协调工作</w:t>
            </w:r>
          </w:p>
        </w:tc>
      </w:tr>
      <w:tr w14:paraId="1A39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638" w:type="dxa"/>
            <w:vAlign w:val="center"/>
          </w:tcPr>
          <w:p w14:paraId="4A0F3159">
            <w:pPr>
              <w:adjustRightInd w:val="0"/>
              <w:snapToGrid w:val="0"/>
              <w:jc w:val="center"/>
              <w:rPr>
                <w:rFonts w:eastAsia="仿宋"/>
                <w:color w:val="auto"/>
                <w:szCs w:val="21"/>
              </w:rPr>
            </w:pPr>
            <w:r>
              <w:rPr>
                <w:rFonts w:hint="eastAsia" w:eastAsia="仿宋"/>
                <w:color w:val="auto"/>
                <w:szCs w:val="21"/>
              </w:rPr>
              <w:t>2</w:t>
            </w:r>
          </w:p>
        </w:tc>
        <w:tc>
          <w:tcPr>
            <w:tcW w:w="996" w:type="dxa"/>
            <w:vAlign w:val="center"/>
          </w:tcPr>
          <w:p w14:paraId="617558F4">
            <w:pPr>
              <w:adjustRightInd w:val="0"/>
              <w:snapToGrid w:val="0"/>
              <w:jc w:val="center"/>
              <w:rPr>
                <w:rFonts w:eastAsia="仿宋"/>
                <w:color w:val="auto"/>
                <w:szCs w:val="21"/>
              </w:rPr>
            </w:pPr>
            <w:r>
              <w:rPr>
                <w:rFonts w:eastAsia="仿宋"/>
                <w:color w:val="auto"/>
                <w:szCs w:val="21"/>
              </w:rPr>
              <w:t>凌映茹</w:t>
            </w:r>
          </w:p>
        </w:tc>
        <w:tc>
          <w:tcPr>
            <w:tcW w:w="793" w:type="dxa"/>
            <w:vAlign w:val="center"/>
          </w:tcPr>
          <w:p w14:paraId="4A9FCFE0">
            <w:pPr>
              <w:adjustRightInd w:val="0"/>
              <w:snapToGrid w:val="0"/>
              <w:jc w:val="center"/>
              <w:rPr>
                <w:rFonts w:eastAsia="仿宋"/>
                <w:color w:val="auto"/>
                <w:szCs w:val="21"/>
              </w:rPr>
            </w:pPr>
            <w:r>
              <w:rPr>
                <w:rFonts w:hint="eastAsia" w:eastAsia="仿宋"/>
                <w:color w:val="auto"/>
                <w:szCs w:val="21"/>
              </w:rPr>
              <w:t>女</w:t>
            </w:r>
          </w:p>
        </w:tc>
        <w:tc>
          <w:tcPr>
            <w:tcW w:w="1596" w:type="dxa"/>
            <w:vAlign w:val="center"/>
          </w:tcPr>
          <w:p w14:paraId="03E116F0">
            <w:pPr>
              <w:adjustRightInd w:val="0"/>
              <w:snapToGrid w:val="0"/>
              <w:jc w:val="center"/>
              <w:rPr>
                <w:rFonts w:eastAsia="仿宋"/>
                <w:color w:val="auto"/>
                <w:szCs w:val="21"/>
              </w:rPr>
            </w:pPr>
            <w:r>
              <w:rPr>
                <w:rFonts w:hint="eastAsia" w:eastAsia="仿宋"/>
                <w:color w:val="auto"/>
                <w:szCs w:val="21"/>
              </w:rPr>
              <w:t>主管</w:t>
            </w:r>
            <w:r>
              <w:rPr>
                <w:rFonts w:eastAsia="仿宋"/>
                <w:color w:val="auto"/>
                <w:szCs w:val="21"/>
              </w:rPr>
              <w:t>技师</w:t>
            </w:r>
          </w:p>
        </w:tc>
        <w:tc>
          <w:tcPr>
            <w:tcW w:w="2322" w:type="dxa"/>
            <w:vAlign w:val="center"/>
          </w:tcPr>
          <w:p w14:paraId="254B4B23">
            <w:pPr>
              <w:adjustRightInd w:val="0"/>
              <w:snapToGrid w:val="0"/>
              <w:jc w:val="center"/>
              <w:rPr>
                <w:rFonts w:eastAsia="仿宋"/>
                <w:color w:val="auto"/>
                <w:szCs w:val="21"/>
              </w:rPr>
            </w:pPr>
            <w:r>
              <w:rPr>
                <w:rFonts w:eastAsia="仿宋"/>
                <w:color w:val="auto"/>
                <w:szCs w:val="21"/>
              </w:rPr>
              <w:t>江苏省疾病预防控制中心</w:t>
            </w:r>
          </w:p>
        </w:tc>
        <w:tc>
          <w:tcPr>
            <w:tcW w:w="3028" w:type="dxa"/>
            <w:vAlign w:val="center"/>
          </w:tcPr>
          <w:p w14:paraId="3209EB15">
            <w:pPr>
              <w:adjustRightInd w:val="0"/>
              <w:snapToGrid w:val="0"/>
              <w:jc w:val="center"/>
              <w:rPr>
                <w:rFonts w:eastAsia="仿宋"/>
                <w:color w:val="auto"/>
                <w:szCs w:val="21"/>
              </w:rPr>
            </w:pPr>
            <w:r>
              <w:rPr>
                <w:rFonts w:eastAsia="仿宋"/>
                <w:color w:val="auto"/>
                <w:szCs w:val="21"/>
              </w:rPr>
              <w:t>草铵膦检测方法的建立</w:t>
            </w:r>
          </w:p>
        </w:tc>
      </w:tr>
      <w:tr w14:paraId="3EF3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638" w:type="dxa"/>
            <w:vAlign w:val="center"/>
          </w:tcPr>
          <w:p w14:paraId="735A9C41">
            <w:pPr>
              <w:adjustRightInd w:val="0"/>
              <w:snapToGrid w:val="0"/>
              <w:jc w:val="center"/>
              <w:rPr>
                <w:rFonts w:eastAsia="仿宋"/>
                <w:color w:val="auto"/>
                <w:szCs w:val="21"/>
              </w:rPr>
            </w:pPr>
            <w:r>
              <w:rPr>
                <w:rFonts w:hint="eastAsia" w:eastAsia="仿宋"/>
                <w:color w:val="auto"/>
                <w:szCs w:val="21"/>
              </w:rPr>
              <w:t>3</w:t>
            </w:r>
          </w:p>
        </w:tc>
        <w:tc>
          <w:tcPr>
            <w:tcW w:w="996" w:type="dxa"/>
            <w:vAlign w:val="center"/>
          </w:tcPr>
          <w:p w14:paraId="74AD63CB">
            <w:pPr>
              <w:adjustRightInd w:val="0"/>
              <w:snapToGrid w:val="0"/>
              <w:jc w:val="center"/>
              <w:rPr>
                <w:rFonts w:eastAsia="仿宋"/>
                <w:color w:val="auto"/>
                <w:szCs w:val="21"/>
              </w:rPr>
            </w:pPr>
            <w:r>
              <w:rPr>
                <w:rFonts w:eastAsia="仿宋"/>
                <w:color w:val="auto"/>
                <w:szCs w:val="21"/>
              </w:rPr>
              <w:t>张锋</w:t>
            </w:r>
          </w:p>
        </w:tc>
        <w:tc>
          <w:tcPr>
            <w:tcW w:w="793" w:type="dxa"/>
            <w:vAlign w:val="center"/>
          </w:tcPr>
          <w:p w14:paraId="430CB791">
            <w:pPr>
              <w:adjustRightInd w:val="0"/>
              <w:snapToGrid w:val="0"/>
              <w:jc w:val="center"/>
              <w:rPr>
                <w:rFonts w:eastAsia="仿宋"/>
                <w:color w:val="auto"/>
                <w:szCs w:val="21"/>
              </w:rPr>
            </w:pPr>
            <w:r>
              <w:rPr>
                <w:rFonts w:eastAsia="仿宋"/>
                <w:color w:val="auto"/>
                <w:szCs w:val="21"/>
              </w:rPr>
              <w:t>男</w:t>
            </w:r>
          </w:p>
        </w:tc>
        <w:tc>
          <w:tcPr>
            <w:tcW w:w="1596" w:type="dxa"/>
            <w:vAlign w:val="center"/>
          </w:tcPr>
          <w:p w14:paraId="180249EB">
            <w:pPr>
              <w:adjustRightInd w:val="0"/>
              <w:snapToGrid w:val="0"/>
              <w:jc w:val="center"/>
              <w:rPr>
                <w:rFonts w:eastAsia="仿宋"/>
                <w:color w:val="auto"/>
                <w:szCs w:val="21"/>
              </w:rPr>
            </w:pPr>
            <w:r>
              <w:rPr>
                <w:rFonts w:eastAsia="仿宋"/>
                <w:color w:val="auto"/>
                <w:szCs w:val="21"/>
              </w:rPr>
              <w:t>主任技师</w:t>
            </w:r>
          </w:p>
        </w:tc>
        <w:tc>
          <w:tcPr>
            <w:tcW w:w="2322" w:type="dxa"/>
            <w:vAlign w:val="center"/>
          </w:tcPr>
          <w:p w14:paraId="4A995207">
            <w:pPr>
              <w:adjustRightInd w:val="0"/>
              <w:snapToGrid w:val="0"/>
              <w:jc w:val="center"/>
              <w:rPr>
                <w:rFonts w:eastAsia="仿宋"/>
                <w:color w:val="auto"/>
                <w:szCs w:val="21"/>
              </w:rPr>
            </w:pPr>
            <w:r>
              <w:rPr>
                <w:rFonts w:eastAsia="仿宋"/>
                <w:color w:val="auto"/>
                <w:szCs w:val="21"/>
              </w:rPr>
              <w:t>江苏省疾病预防控制中心</w:t>
            </w:r>
          </w:p>
        </w:tc>
        <w:tc>
          <w:tcPr>
            <w:tcW w:w="3028" w:type="dxa"/>
            <w:vAlign w:val="center"/>
          </w:tcPr>
          <w:p w14:paraId="66042D10">
            <w:pPr>
              <w:adjustRightInd w:val="0"/>
              <w:snapToGrid w:val="0"/>
              <w:jc w:val="center"/>
              <w:rPr>
                <w:rFonts w:eastAsia="仿宋"/>
                <w:color w:val="auto"/>
                <w:szCs w:val="21"/>
              </w:rPr>
            </w:pPr>
            <w:r>
              <w:rPr>
                <w:rFonts w:eastAsia="仿宋"/>
                <w:color w:val="auto"/>
                <w:szCs w:val="21"/>
              </w:rPr>
              <w:t>负责</w:t>
            </w:r>
            <w:r>
              <w:rPr>
                <w:rFonts w:hint="eastAsia" w:eastAsia="仿宋"/>
                <w:color w:val="auto"/>
                <w:szCs w:val="21"/>
              </w:rPr>
              <w:t>草铵膦现场调查</w:t>
            </w:r>
          </w:p>
        </w:tc>
      </w:tr>
      <w:tr w14:paraId="074D9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638" w:type="dxa"/>
            <w:vAlign w:val="center"/>
          </w:tcPr>
          <w:p w14:paraId="4B3CF481">
            <w:pPr>
              <w:adjustRightInd w:val="0"/>
              <w:snapToGrid w:val="0"/>
              <w:jc w:val="center"/>
              <w:rPr>
                <w:rFonts w:eastAsia="仿宋"/>
                <w:color w:val="auto"/>
                <w:szCs w:val="21"/>
              </w:rPr>
            </w:pPr>
            <w:r>
              <w:rPr>
                <w:rFonts w:eastAsia="仿宋"/>
                <w:color w:val="auto"/>
                <w:szCs w:val="21"/>
              </w:rPr>
              <w:t>4</w:t>
            </w:r>
          </w:p>
        </w:tc>
        <w:tc>
          <w:tcPr>
            <w:tcW w:w="996" w:type="dxa"/>
            <w:vAlign w:val="center"/>
          </w:tcPr>
          <w:p w14:paraId="1CA2A6C5">
            <w:pPr>
              <w:adjustRightInd w:val="0"/>
              <w:snapToGrid w:val="0"/>
              <w:jc w:val="center"/>
              <w:rPr>
                <w:rFonts w:eastAsia="仿宋"/>
                <w:color w:val="auto"/>
                <w:szCs w:val="21"/>
              </w:rPr>
            </w:pPr>
            <w:r>
              <w:rPr>
                <w:rFonts w:hint="eastAsia" w:eastAsia="仿宋"/>
                <w:color w:val="auto"/>
                <w:szCs w:val="21"/>
              </w:rPr>
              <w:t>刘炘</w:t>
            </w:r>
          </w:p>
        </w:tc>
        <w:tc>
          <w:tcPr>
            <w:tcW w:w="793" w:type="dxa"/>
            <w:vAlign w:val="center"/>
          </w:tcPr>
          <w:p w14:paraId="58D9B487">
            <w:pPr>
              <w:adjustRightInd w:val="0"/>
              <w:snapToGrid w:val="0"/>
              <w:jc w:val="center"/>
              <w:rPr>
                <w:rFonts w:eastAsia="仿宋"/>
                <w:color w:val="auto"/>
                <w:szCs w:val="21"/>
              </w:rPr>
            </w:pPr>
            <w:r>
              <w:rPr>
                <w:rFonts w:eastAsia="仿宋"/>
                <w:color w:val="auto"/>
                <w:szCs w:val="21"/>
              </w:rPr>
              <w:t>男</w:t>
            </w:r>
          </w:p>
        </w:tc>
        <w:tc>
          <w:tcPr>
            <w:tcW w:w="1596" w:type="dxa"/>
            <w:vAlign w:val="center"/>
          </w:tcPr>
          <w:p w14:paraId="368162E7">
            <w:pPr>
              <w:adjustRightInd w:val="0"/>
              <w:snapToGrid w:val="0"/>
              <w:jc w:val="center"/>
              <w:rPr>
                <w:rFonts w:eastAsia="仿宋"/>
                <w:color w:val="auto"/>
                <w:szCs w:val="21"/>
              </w:rPr>
            </w:pPr>
            <w:r>
              <w:rPr>
                <w:rFonts w:hint="eastAsia" w:eastAsia="仿宋"/>
                <w:color w:val="auto"/>
                <w:szCs w:val="21"/>
              </w:rPr>
              <w:t>副</w:t>
            </w:r>
            <w:r>
              <w:rPr>
                <w:rFonts w:eastAsia="仿宋"/>
                <w:color w:val="auto"/>
                <w:szCs w:val="21"/>
              </w:rPr>
              <w:t>主任医师</w:t>
            </w:r>
          </w:p>
        </w:tc>
        <w:tc>
          <w:tcPr>
            <w:tcW w:w="2322" w:type="dxa"/>
            <w:vAlign w:val="center"/>
          </w:tcPr>
          <w:p w14:paraId="69190EDF">
            <w:pPr>
              <w:adjustRightInd w:val="0"/>
              <w:snapToGrid w:val="0"/>
              <w:jc w:val="center"/>
              <w:rPr>
                <w:rFonts w:eastAsia="仿宋"/>
                <w:color w:val="auto"/>
                <w:szCs w:val="21"/>
              </w:rPr>
            </w:pPr>
            <w:r>
              <w:rPr>
                <w:rFonts w:eastAsia="仿宋"/>
                <w:color w:val="auto"/>
                <w:szCs w:val="21"/>
              </w:rPr>
              <w:t>江苏省疾病预防控制中心</w:t>
            </w:r>
          </w:p>
        </w:tc>
        <w:tc>
          <w:tcPr>
            <w:tcW w:w="3028" w:type="dxa"/>
            <w:vAlign w:val="center"/>
          </w:tcPr>
          <w:p w14:paraId="7FD1176C">
            <w:pPr>
              <w:adjustRightInd w:val="0"/>
              <w:snapToGrid w:val="0"/>
              <w:jc w:val="center"/>
              <w:rPr>
                <w:rFonts w:eastAsia="仿宋"/>
                <w:color w:val="auto"/>
                <w:szCs w:val="21"/>
              </w:rPr>
            </w:pPr>
            <w:r>
              <w:rPr>
                <w:rFonts w:eastAsia="仿宋"/>
                <w:color w:val="auto"/>
                <w:szCs w:val="21"/>
              </w:rPr>
              <w:t>负责草铵膦职业接触限值的研究</w:t>
            </w:r>
          </w:p>
        </w:tc>
      </w:tr>
      <w:tr w14:paraId="66887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638" w:type="dxa"/>
            <w:vAlign w:val="center"/>
          </w:tcPr>
          <w:p w14:paraId="2B37EE65">
            <w:pPr>
              <w:adjustRightInd w:val="0"/>
              <w:snapToGrid w:val="0"/>
              <w:jc w:val="center"/>
              <w:rPr>
                <w:rFonts w:eastAsia="仿宋"/>
                <w:color w:val="auto"/>
                <w:szCs w:val="21"/>
              </w:rPr>
            </w:pPr>
            <w:r>
              <w:rPr>
                <w:rFonts w:eastAsia="仿宋"/>
                <w:color w:val="auto"/>
                <w:szCs w:val="21"/>
              </w:rPr>
              <w:t>5</w:t>
            </w:r>
          </w:p>
        </w:tc>
        <w:tc>
          <w:tcPr>
            <w:tcW w:w="996" w:type="dxa"/>
            <w:vAlign w:val="center"/>
          </w:tcPr>
          <w:p w14:paraId="3190BDDC">
            <w:pPr>
              <w:adjustRightInd w:val="0"/>
              <w:snapToGrid w:val="0"/>
              <w:jc w:val="center"/>
              <w:rPr>
                <w:rFonts w:eastAsia="仿宋"/>
                <w:color w:val="auto"/>
                <w:szCs w:val="21"/>
              </w:rPr>
            </w:pPr>
            <w:r>
              <w:rPr>
                <w:rFonts w:eastAsia="仿宋"/>
                <w:color w:val="auto"/>
                <w:szCs w:val="21"/>
              </w:rPr>
              <w:t>窦建瑞</w:t>
            </w:r>
          </w:p>
        </w:tc>
        <w:tc>
          <w:tcPr>
            <w:tcW w:w="793" w:type="dxa"/>
            <w:vAlign w:val="center"/>
          </w:tcPr>
          <w:p w14:paraId="17719575">
            <w:pPr>
              <w:adjustRightInd w:val="0"/>
              <w:snapToGrid w:val="0"/>
              <w:jc w:val="center"/>
              <w:rPr>
                <w:rFonts w:eastAsia="仿宋"/>
                <w:color w:val="auto"/>
                <w:szCs w:val="21"/>
              </w:rPr>
            </w:pPr>
            <w:r>
              <w:rPr>
                <w:rFonts w:eastAsia="仿宋"/>
                <w:color w:val="auto"/>
                <w:szCs w:val="21"/>
              </w:rPr>
              <w:t>男</w:t>
            </w:r>
          </w:p>
        </w:tc>
        <w:tc>
          <w:tcPr>
            <w:tcW w:w="1596" w:type="dxa"/>
            <w:vAlign w:val="center"/>
          </w:tcPr>
          <w:p w14:paraId="0E7DA209">
            <w:pPr>
              <w:adjustRightInd w:val="0"/>
              <w:snapToGrid w:val="0"/>
              <w:jc w:val="center"/>
              <w:rPr>
                <w:rFonts w:eastAsia="仿宋"/>
                <w:color w:val="auto"/>
                <w:szCs w:val="21"/>
              </w:rPr>
            </w:pPr>
            <w:r>
              <w:rPr>
                <w:rFonts w:eastAsia="仿宋"/>
                <w:color w:val="auto"/>
                <w:szCs w:val="21"/>
              </w:rPr>
              <w:t>副主任医师</w:t>
            </w:r>
          </w:p>
        </w:tc>
        <w:tc>
          <w:tcPr>
            <w:tcW w:w="2322" w:type="dxa"/>
            <w:vAlign w:val="center"/>
          </w:tcPr>
          <w:p w14:paraId="48407394">
            <w:pPr>
              <w:adjustRightInd w:val="0"/>
              <w:snapToGrid w:val="0"/>
              <w:jc w:val="center"/>
              <w:rPr>
                <w:rFonts w:eastAsia="仿宋"/>
                <w:color w:val="auto"/>
                <w:szCs w:val="21"/>
              </w:rPr>
            </w:pPr>
            <w:r>
              <w:rPr>
                <w:rFonts w:eastAsia="仿宋"/>
                <w:color w:val="auto"/>
                <w:szCs w:val="21"/>
              </w:rPr>
              <w:t>扬州市疾病预防控制中心</w:t>
            </w:r>
          </w:p>
        </w:tc>
        <w:tc>
          <w:tcPr>
            <w:tcW w:w="3028" w:type="dxa"/>
            <w:vAlign w:val="center"/>
          </w:tcPr>
          <w:p w14:paraId="2DE5F65C">
            <w:pPr>
              <w:adjustRightInd w:val="0"/>
              <w:snapToGrid w:val="0"/>
              <w:jc w:val="center"/>
              <w:rPr>
                <w:rFonts w:eastAsia="仿宋"/>
                <w:color w:val="auto"/>
                <w:szCs w:val="21"/>
              </w:rPr>
            </w:pPr>
            <w:r>
              <w:rPr>
                <w:rFonts w:eastAsia="仿宋"/>
                <w:color w:val="auto"/>
                <w:szCs w:val="21"/>
              </w:rPr>
              <w:t>参与现场流行病学的调查</w:t>
            </w:r>
          </w:p>
        </w:tc>
      </w:tr>
      <w:tr w14:paraId="2254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638" w:type="dxa"/>
            <w:vAlign w:val="center"/>
          </w:tcPr>
          <w:p w14:paraId="73A4017D">
            <w:pPr>
              <w:adjustRightInd w:val="0"/>
              <w:snapToGrid w:val="0"/>
              <w:jc w:val="center"/>
              <w:rPr>
                <w:rFonts w:eastAsia="仿宋"/>
                <w:color w:val="auto"/>
                <w:szCs w:val="21"/>
              </w:rPr>
            </w:pPr>
            <w:r>
              <w:rPr>
                <w:rFonts w:eastAsia="仿宋"/>
                <w:color w:val="auto"/>
                <w:szCs w:val="21"/>
              </w:rPr>
              <w:t>6</w:t>
            </w:r>
          </w:p>
        </w:tc>
        <w:tc>
          <w:tcPr>
            <w:tcW w:w="996" w:type="dxa"/>
            <w:vAlign w:val="center"/>
          </w:tcPr>
          <w:p w14:paraId="14A3DFF5">
            <w:pPr>
              <w:adjustRightInd w:val="0"/>
              <w:snapToGrid w:val="0"/>
              <w:jc w:val="center"/>
              <w:rPr>
                <w:rFonts w:eastAsia="仿宋"/>
                <w:color w:val="auto"/>
                <w:szCs w:val="21"/>
              </w:rPr>
            </w:pPr>
            <w:r>
              <w:rPr>
                <w:rFonts w:eastAsia="仿宋"/>
                <w:color w:val="auto"/>
                <w:szCs w:val="21"/>
              </w:rPr>
              <w:t>潘丽萍</w:t>
            </w:r>
          </w:p>
        </w:tc>
        <w:tc>
          <w:tcPr>
            <w:tcW w:w="793" w:type="dxa"/>
            <w:vAlign w:val="center"/>
          </w:tcPr>
          <w:p w14:paraId="0E24EFE1">
            <w:pPr>
              <w:adjustRightInd w:val="0"/>
              <w:snapToGrid w:val="0"/>
              <w:jc w:val="center"/>
              <w:rPr>
                <w:rFonts w:eastAsia="仿宋"/>
                <w:color w:val="auto"/>
                <w:szCs w:val="21"/>
              </w:rPr>
            </w:pPr>
            <w:r>
              <w:rPr>
                <w:rFonts w:hint="eastAsia" w:eastAsia="仿宋"/>
                <w:color w:val="auto"/>
                <w:szCs w:val="21"/>
              </w:rPr>
              <w:t>女</w:t>
            </w:r>
          </w:p>
        </w:tc>
        <w:tc>
          <w:tcPr>
            <w:tcW w:w="1596" w:type="dxa"/>
            <w:vAlign w:val="center"/>
          </w:tcPr>
          <w:p w14:paraId="633A8EAF">
            <w:pPr>
              <w:adjustRightInd w:val="0"/>
              <w:snapToGrid w:val="0"/>
              <w:jc w:val="center"/>
              <w:rPr>
                <w:rFonts w:eastAsia="仿宋"/>
                <w:color w:val="auto"/>
                <w:szCs w:val="21"/>
              </w:rPr>
            </w:pPr>
            <w:r>
              <w:rPr>
                <w:rFonts w:eastAsia="仿宋"/>
                <w:color w:val="auto"/>
                <w:szCs w:val="21"/>
              </w:rPr>
              <w:t>主治医师</w:t>
            </w:r>
          </w:p>
        </w:tc>
        <w:tc>
          <w:tcPr>
            <w:tcW w:w="2322" w:type="dxa"/>
            <w:vAlign w:val="center"/>
          </w:tcPr>
          <w:p w14:paraId="40F230A1">
            <w:pPr>
              <w:adjustRightInd w:val="0"/>
              <w:snapToGrid w:val="0"/>
              <w:jc w:val="center"/>
              <w:rPr>
                <w:rFonts w:eastAsia="仿宋"/>
                <w:color w:val="auto"/>
                <w:szCs w:val="21"/>
              </w:rPr>
            </w:pPr>
            <w:r>
              <w:rPr>
                <w:rFonts w:eastAsia="仿宋"/>
                <w:color w:val="auto"/>
                <w:szCs w:val="21"/>
              </w:rPr>
              <w:t>南京市职业病防治院</w:t>
            </w:r>
          </w:p>
        </w:tc>
        <w:tc>
          <w:tcPr>
            <w:tcW w:w="3028" w:type="dxa"/>
            <w:vAlign w:val="center"/>
          </w:tcPr>
          <w:p w14:paraId="6B07DC1C">
            <w:pPr>
              <w:adjustRightInd w:val="0"/>
              <w:snapToGrid w:val="0"/>
              <w:jc w:val="center"/>
              <w:rPr>
                <w:rFonts w:eastAsia="仿宋"/>
                <w:color w:val="auto"/>
                <w:szCs w:val="21"/>
              </w:rPr>
            </w:pPr>
            <w:r>
              <w:rPr>
                <w:rFonts w:eastAsia="仿宋"/>
                <w:color w:val="auto"/>
                <w:szCs w:val="21"/>
              </w:rPr>
              <w:t>实验室方法验证</w:t>
            </w:r>
          </w:p>
        </w:tc>
      </w:tr>
      <w:tr w14:paraId="643E5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638" w:type="dxa"/>
            <w:vAlign w:val="center"/>
          </w:tcPr>
          <w:p w14:paraId="56BC37B3">
            <w:pPr>
              <w:adjustRightInd w:val="0"/>
              <w:snapToGrid w:val="0"/>
              <w:jc w:val="center"/>
              <w:rPr>
                <w:rFonts w:eastAsia="仿宋"/>
                <w:color w:val="auto"/>
                <w:szCs w:val="21"/>
              </w:rPr>
            </w:pPr>
            <w:r>
              <w:rPr>
                <w:rFonts w:eastAsia="仿宋"/>
                <w:color w:val="auto"/>
                <w:szCs w:val="21"/>
              </w:rPr>
              <w:t>7</w:t>
            </w:r>
          </w:p>
        </w:tc>
        <w:tc>
          <w:tcPr>
            <w:tcW w:w="996" w:type="dxa"/>
            <w:vAlign w:val="center"/>
          </w:tcPr>
          <w:p w14:paraId="6866D87C">
            <w:pPr>
              <w:adjustRightInd w:val="0"/>
              <w:snapToGrid w:val="0"/>
              <w:jc w:val="center"/>
              <w:rPr>
                <w:rFonts w:eastAsia="仿宋"/>
                <w:color w:val="auto"/>
                <w:szCs w:val="21"/>
              </w:rPr>
            </w:pPr>
            <w:r>
              <w:rPr>
                <w:rFonts w:eastAsia="仿宋"/>
                <w:color w:val="auto"/>
                <w:szCs w:val="21"/>
              </w:rPr>
              <w:t>谢石</w:t>
            </w:r>
          </w:p>
        </w:tc>
        <w:tc>
          <w:tcPr>
            <w:tcW w:w="793" w:type="dxa"/>
            <w:vAlign w:val="center"/>
          </w:tcPr>
          <w:p w14:paraId="0C915756">
            <w:pPr>
              <w:adjustRightInd w:val="0"/>
              <w:snapToGrid w:val="0"/>
              <w:jc w:val="center"/>
              <w:rPr>
                <w:rFonts w:eastAsia="仿宋"/>
                <w:color w:val="auto"/>
                <w:szCs w:val="21"/>
              </w:rPr>
            </w:pPr>
            <w:r>
              <w:rPr>
                <w:rFonts w:eastAsia="仿宋"/>
                <w:color w:val="auto"/>
                <w:szCs w:val="21"/>
              </w:rPr>
              <w:t>女</w:t>
            </w:r>
          </w:p>
        </w:tc>
        <w:tc>
          <w:tcPr>
            <w:tcW w:w="1596" w:type="dxa"/>
            <w:vAlign w:val="center"/>
          </w:tcPr>
          <w:p w14:paraId="295E8444">
            <w:pPr>
              <w:adjustRightInd w:val="0"/>
              <w:snapToGrid w:val="0"/>
              <w:jc w:val="center"/>
              <w:rPr>
                <w:rFonts w:eastAsia="仿宋"/>
                <w:color w:val="auto"/>
                <w:szCs w:val="21"/>
              </w:rPr>
            </w:pPr>
            <w:r>
              <w:rPr>
                <w:rFonts w:eastAsia="仿宋"/>
                <w:color w:val="auto"/>
                <w:szCs w:val="21"/>
              </w:rPr>
              <w:t>主任医师</w:t>
            </w:r>
          </w:p>
        </w:tc>
        <w:tc>
          <w:tcPr>
            <w:tcW w:w="2322" w:type="dxa"/>
            <w:vAlign w:val="center"/>
          </w:tcPr>
          <w:p w14:paraId="6B1591B9">
            <w:pPr>
              <w:adjustRightInd w:val="0"/>
              <w:snapToGrid w:val="0"/>
              <w:jc w:val="center"/>
              <w:rPr>
                <w:rFonts w:eastAsia="仿宋"/>
                <w:color w:val="auto"/>
                <w:szCs w:val="21"/>
              </w:rPr>
            </w:pPr>
            <w:r>
              <w:rPr>
                <w:rFonts w:eastAsia="仿宋"/>
                <w:color w:val="auto"/>
                <w:szCs w:val="21"/>
              </w:rPr>
              <w:t>镇江市疾病预防控制中心</w:t>
            </w:r>
          </w:p>
        </w:tc>
        <w:tc>
          <w:tcPr>
            <w:tcW w:w="3028" w:type="dxa"/>
            <w:vAlign w:val="center"/>
          </w:tcPr>
          <w:p w14:paraId="556BF5C0">
            <w:pPr>
              <w:adjustRightInd w:val="0"/>
              <w:snapToGrid w:val="0"/>
              <w:jc w:val="center"/>
              <w:rPr>
                <w:rFonts w:eastAsia="仿宋"/>
                <w:color w:val="auto"/>
                <w:szCs w:val="21"/>
              </w:rPr>
            </w:pPr>
            <w:r>
              <w:rPr>
                <w:rFonts w:eastAsia="仿宋"/>
                <w:color w:val="auto"/>
                <w:szCs w:val="21"/>
              </w:rPr>
              <w:t>参与草铵膦职业卫生现场调查，收集人群健康体检资料</w:t>
            </w:r>
          </w:p>
        </w:tc>
      </w:tr>
      <w:tr w14:paraId="1B5C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638" w:type="dxa"/>
            <w:vAlign w:val="center"/>
          </w:tcPr>
          <w:p w14:paraId="68B28A5D">
            <w:pPr>
              <w:adjustRightInd w:val="0"/>
              <w:snapToGrid w:val="0"/>
              <w:jc w:val="center"/>
              <w:rPr>
                <w:rFonts w:eastAsia="仿宋"/>
                <w:color w:val="auto"/>
                <w:szCs w:val="21"/>
              </w:rPr>
            </w:pPr>
            <w:r>
              <w:rPr>
                <w:rFonts w:eastAsia="仿宋"/>
                <w:color w:val="auto"/>
                <w:szCs w:val="21"/>
              </w:rPr>
              <w:t>8</w:t>
            </w:r>
          </w:p>
        </w:tc>
        <w:tc>
          <w:tcPr>
            <w:tcW w:w="996" w:type="dxa"/>
            <w:vAlign w:val="center"/>
          </w:tcPr>
          <w:p w14:paraId="0D64C610">
            <w:pPr>
              <w:adjustRightInd w:val="0"/>
              <w:snapToGrid w:val="0"/>
              <w:jc w:val="center"/>
              <w:rPr>
                <w:rFonts w:eastAsia="仿宋"/>
                <w:color w:val="auto"/>
                <w:szCs w:val="21"/>
              </w:rPr>
            </w:pPr>
            <w:r>
              <w:rPr>
                <w:rFonts w:eastAsia="仿宋"/>
                <w:color w:val="auto"/>
                <w:szCs w:val="21"/>
              </w:rPr>
              <w:t>张昊</w:t>
            </w:r>
          </w:p>
        </w:tc>
        <w:tc>
          <w:tcPr>
            <w:tcW w:w="793" w:type="dxa"/>
            <w:vAlign w:val="center"/>
          </w:tcPr>
          <w:p w14:paraId="5650075D">
            <w:pPr>
              <w:adjustRightInd w:val="0"/>
              <w:snapToGrid w:val="0"/>
              <w:jc w:val="center"/>
              <w:rPr>
                <w:rFonts w:eastAsia="仿宋"/>
                <w:color w:val="auto"/>
                <w:szCs w:val="21"/>
              </w:rPr>
            </w:pPr>
            <w:r>
              <w:rPr>
                <w:rFonts w:hint="eastAsia" w:eastAsia="仿宋"/>
                <w:color w:val="auto"/>
                <w:szCs w:val="21"/>
              </w:rPr>
              <w:t>男</w:t>
            </w:r>
          </w:p>
        </w:tc>
        <w:tc>
          <w:tcPr>
            <w:tcW w:w="1596" w:type="dxa"/>
            <w:vAlign w:val="center"/>
          </w:tcPr>
          <w:p w14:paraId="20ECEE2F">
            <w:pPr>
              <w:adjustRightInd w:val="0"/>
              <w:snapToGrid w:val="0"/>
              <w:jc w:val="center"/>
              <w:rPr>
                <w:rFonts w:eastAsia="仿宋"/>
                <w:color w:val="auto"/>
                <w:szCs w:val="21"/>
              </w:rPr>
            </w:pPr>
            <w:r>
              <w:rPr>
                <w:rFonts w:eastAsia="仿宋"/>
                <w:color w:val="auto"/>
                <w:szCs w:val="21"/>
              </w:rPr>
              <w:t>副主任技师</w:t>
            </w:r>
          </w:p>
        </w:tc>
        <w:tc>
          <w:tcPr>
            <w:tcW w:w="2322" w:type="dxa"/>
            <w:vAlign w:val="center"/>
          </w:tcPr>
          <w:p w14:paraId="05057A92">
            <w:pPr>
              <w:adjustRightInd w:val="0"/>
              <w:snapToGrid w:val="0"/>
              <w:jc w:val="center"/>
              <w:rPr>
                <w:rFonts w:eastAsia="仿宋"/>
                <w:color w:val="auto"/>
                <w:szCs w:val="21"/>
              </w:rPr>
            </w:pPr>
            <w:r>
              <w:rPr>
                <w:rFonts w:eastAsia="仿宋"/>
                <w:color w:val="auto"/>
                <w:szCs w:val="21"/>
              </w:rPr>
              <w:t>江苏省疾病预防控制中心</w:t>
            </w:r>
          </w:p>
        </w:tc>
        <w:tc>
          <w:tcPr>
            <w:tcW w:w="3028" w:type="dxa"/>
            <w:vAlign w:val="center"/>
          </w:tcPr>
          <w:p w14:paraId="0099AB8F">
            <w:pPr>
              <w:adjustRightInd w:val="0"/>
              <w:snapToGrid w:val="0"/>
              <w:jc w:val="center"/>
              <w:rPr>
                <w:rFonts w:eastAsia="仿宋"/>
                <w:color w:val="auto"/>
                <w:szCs w:val="21"/>
              </w:rPr>
            </w:pPr>
            <w:r>
              <w:rPr>
                <w:rFonts w:eastAsia="仿宋"/>
                <w:color w:val="auto"/>
                <w:szCs w:val="21"/>
              </w:rPr>
              <w:t>负责草铵膦体内生物指标的检测</w:t>
            </w:r>
          </w:p>
        </w:tc>
      </w:tr>
      <w:tr w14:paraId="6E2F0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638" w:type="dxa"/>
            <w:vAlign w:val="center"/>
          </w:tcPr>
          <w:p w14:paraId="0439464C">
            <w:pPr>
              <w:adjustRightInd w:val="0"/>
              <w:snapToGrid w:val="0"/>
              <w:jc w:val="center"/>
              <w:rPr>
                <w:rFonts w:eastAsia="仿宋"/>
                <w:color w:val="auto"/>
                <w:szCs w:val="21"/>
              </w:rPr>
            </w:pPr>
            <w:r>
              <w:rPr>
                <w:rFonts w:eastAsia="仿宋"/>
                <w:color w:val="auto"/>
                <w:szCs w:val="21"/>
              </w:rPr>
              <w:t>9</w:t>
            </w:r>
          </w:p>
        </w:tc>
        <w:tc>
          <w:tcPr>
            <w:tcW w:w="996" w:type="dxa"/>
            <w:vAlign w:val="center"/>
          </w:tcPr>
          <w:p w14:paraId="642ED85B">
            <w:pPr>
              <w:adjustRightInd w:val="0"/>
              <w:snapToGrid w:val="0"/>
              <w:jc w:val="center"/>
              <w:rPr>
                <w:rFonts w:eastAsia="仿宋"/>
                <w:color w:val="auto"/>
                <w:szCs w:val="21"/>
              </w:rPr>
            </w:pPr>
            <w:r>
              <w:rPr>
                <w:rFonts w:hint="eastAsia" w:eastAsia="仿宋"/>
                <w:color w:val="auto"/>
                <w:szCs w:val="21"/>
              </w:rPr>
              <w:t>鹿奎奎</w:t>
            </w:r>
          </w:p>
        </w:tc>
        <w:tc>
          <w:tcPr>
            <w:tcW w:w="793" w:type="dxa"/>
            <w:vAlign w:val="center"/>
          </w:tcPr>
          <w:p w14:paraId="0130384C">
            <w:pPr>
              <w:adjustRightInd w:val="0"/>
              <w:snapToGrid w:val="0"/>
              <w:jc w:val="center"/>
              <w:rPr>
                <w:rFonts w:eastAsia="仿宋"/>
                <w:color w:val="auto"/>
                <w:szCs w:val="21"/>
              </w:rPr>
            </w:pPr>
            <w:r>
              <w:rPr>
                <w:rFonts w:hint="eastAsia" w:eastAsia="仿宋"/>
                <w:color w:val="auto"/>
                <w:szCs w:val="21"/>
              </w:rPr>
              <w:t>男</w:t>
            </w:r>
          </w:p>
        </w:tc>
        <w:tc>
          <w:tcPr>
            <w:tcW w:w="1596" w:type="dxa"/>
            <w:vAlign w:val="center"/>
          </w:tcPr>
          <w:p w14:paraId="7A2B1F47">
            <w:pPr>
              <w:adjustRightInd w:val="0"/>
              <w:snapToGrid w:val="0"/>
              <w:jc w:val="center"/>
              <w:rPr>
                <w:rFonts w:eastAsia="仿宋"/>
                <w:color w:val="auto"/>
                <w:szCs w:val="21"/>
              </w:rPr>
            </w:pPr>
            <w:r>
              <w:rPr>
                <w:rFonts w:hint="eastAsia" w:eastAsia="仿宋"/>
                <w:color w:val="auto"/>
                <w:szCs w:val="21"/>
              </w:rPr>
              <w:t>实验师</w:t>
            </w:r>
          </w:p>
        </w:tc>
        <w:tc>
          <w:tcPr>
            <w:tcW w:w="2322" w:type="dxa"/>
            <w:vAlign w:val="center"/>
          </w:tcPr>
          <w:p w14:paraId="52A62A7B">
            <w:pPr>
              <w:adjustRightInd w:val="0"/>
              <w:snapToGrid w:val="0"/>
              <w:jc w:val="center"/>
              <w:rPr>
                <w:rFonts w:eastAsia="仿宋"/>
                <w:color w:val="auto"/>
                <w:szCs w:val="21"/>
              </w:rPr>
            </w:pPr>
            <w:r>
              <w:rPr>
                <w:rFonts w:eastAsia="仿宋"/>
                <w:color w:val="auto"/>
                <w:szCs w:val="21"/>
              </w:rPr>
              <w:t>江苏省疾病预防控制中心</w:t>
            </w:r>
          </w:p>
        </w:tc>
        <w:tc>
          <w:tcPr>
            <w:tcW w:w="3028" w:type="dxa"/>
            <w:vAlign w:val="center"/>
          </w:tcPr>
          <w:p w14:paraId="5BDD4CE3">
            <w:pPr>
              <w:adjustRightInd w:val="0"/>
              <w:snapToGrid w:val="0"/>
              <w:jc w:val="center"/>
              <w:rPr>
                <w:rFonts w:eastAsia="仿宋"/>
                <w:color w:val="auto"/>
                <w:szCs w:val="21"/>
              </w:rPr>
            </w:pPr>
            <w:r>
              <w:rPr>
                <w:rFonts w:hint="eastAsia" w:eastAsia="仿宋"/>
                <w:color w:val="auto"/>
                <w:szCs w:val="21"/>
              </w:rPr>
              <w:t>参与草铵膦样品采集及结果统计</w:t>
            </w:r>
          </w:p>
        </w:tc>
      </w:tr>
      <w:tr w14:paraId="74870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638" w:type="dxa"/>
            <w:vAlign w:val="center"/>
          </w:tcPr>
          <w:p w14:paraId="251A6F2D">
            <w:pPr>
              <w:adjustRightInd w:val="0"/>
              <w:snapToGrid w:val="0"/>
              <w:jc w:val="center"/>
              <w:rPr>
                <w:rFonts w:eastAsia="仿宋"/>
                <w:color w:val="auto"/>
                <w:szCs w:val="21"/>
              </w:rPr>
            </w:pPr>
            <w:r>
              <w:rPr>
                <w:rFonts w:eastAsia="仿宋"/>
                <w:color w:val="auto"/>
                <w:szCs w:val="21"/>
              </w:rPr>
              <w:t>10</w:t>
            </w:r>
          </w:p>
        </w:tc>
        <w:tc>
          <w:tcPr>
            <w:tcW w:w="996" w:type="dxa"/>
            <w:vAlign w:val="center"/>
          </w:tcPr>
          <w:p w14:paraId="7FC151A7">
            <w:pPr>
              <w:adjustRightInd w:val="0"/>
              <w:snapToGrid w:val="0"/>
              <w:jc w:val="center"/>
              <w:rPr>
                <w:rFonts w:eastAsia="仿宋"/>
                <w:color w:val="auto"/>
                <w:szCs w:val="21"/>
              </w:rPr>
            </w:pPr>
            <w:r>
              <w:rPr>
                <w:rFonts w:hint="eastAsia" w:eastAsia="仿宋"/>
                <w:color w:val="auto"/>
                <w:szCs w:val="21"/>
              </w:rPr>
              <w:t>朱宝立</w:t>
            </w:r>
          </w:p>
        </w:tc>
        <w:tc>
          <w:tcPr>
            <w:tcW w:w="793" w:type="dxa"/>
            <w:vAlign w:val="center"/>
          </w:tcPr>
          <w:p w14:paraId="25D2A9B2">
            <w:pPr>
              <w:adjustRightInd w:val="0"/>
              <w:snapToGrid w:val="0"/>
              <w:jc w:val="center"/>
              <w:rPr>
                <w:rFonts w:eastAsia="仿宋"/>
                <w:color w:val="auto"/>
                <w:szCs w:val="21"/>
              </w:rPr>
            </w:pPr>
            <w:r>
              <w:rPr>
                <w:rFonts w:hint="eastAsia" w:eastAsia="仿宋"/>
                <w:color w:val="auto"/>
                <w:szCs w:val="21"/>
              </w:rPr>
              <w:t>男</w:t>
            </w:r>
          </w:p>
        </w:tc>
        <w:tc>
          <w:tcPr>
            <w:tcW w:w="1596" w:type="dxa"/>
            <w:vAlign w:val="center"/>
          </w:tcPr>
          <w:p w14:paraId="6CFF57F1">
            <w:pPr>
              <w:adjustRightInd w:val="0"/>
              <w:snapToGrid w:val="0"/>
              <w:jc w:val="center"/>
              <w:rPr>
                <w:rFonts w:eastAsia="仿宋"/>
                <w:color w:val="auto"/>
                <w:szCs w:val="21"/>
              </w:rPr>
            </w:pPr>
            <w:r>
              <w:rPr>
                <w:rFonts w:hint="eastAsia" w:eastAsia="仿宋"/>
                <w:color w:val="auto"/>
                <w:szCs w:val="21"/>
              </w:rPr>
              <w:t>主任医师</w:t>
            </w:r>
          </w:p>
        </w:tc>
        <w:tc>
          <w:tcPr>
            <w:tcW w:w="2322" w:type="dxa"/>
            <w:vAlign w:val="center"/>
          </w:tcPr>
          <w:p w14:paraId="544E0FD5">
            <w:pPr>
              <w:adjustRightInd w:val="0"/>
              <w:snapToGrid w:val="0"/>
              <w:jc w:val="center"/>
              <w:rPr>
                <w:rFonts w:eastAsia="仿宋"/>
                <w:color w:val="auto"/>
                <w:szCs w:val="21"/>
              </w:rPr>
            </w:pPr>
            <w:r>
              <w:rPr>
                <w:rFonts w:eastAsia="仿宋"/>
                <w:color w:val="auto"/>
                <w:szCs w:val="21"/>
              </w:rPr>
              <w:t>江苏省疾病预防控制中心</w:t>
            </w:r>
          </w:p>
        </w:tc>
        <w:tc>
          <w:tcPr>
            <w:tcW w:w="3028" w:type="dxa"/>
            <w:vAlign w:val="center"/>
          </w:tcPr>
          <w:p w14:paraId="4088C408">
            <w:pPr>
              <w:adjustRightInd w:val="0"/>
              <w:snapToGrid w:val="0"/>
              <w:jc w:val="center"/>
              <w:rPr>
                <w:rFonts w:eastAsia="仿宋"/>
                <w:color w:val="auto"/>
                <w:szCs w:val="21"/>
              </w:rPr>
            </w:pPr>
            <w:r>
              <w:rPr>
                <w:rFonts w:hint="eastAsia" w:eastAsia="仿宋"/>
                <w:color w:val="auto"/>
                <w:szCs w:val="21"/>
              </w:rPr>
              <w:t>技术路线制定、现场协调</w:t>
            </w:r>
          </w:p>
        </w:tc>
      </w:tr>
    </w:tbl>
    <w:p w14:paraId="123C590F">
      <w:pPr>
        <w:pStyle w:val="2"/>
        <w:spacing w:before="156" w:beforeLines="50" w:after="0" w:line="500" w:lineRule="exact"/>
        <w:ind w:firstLine="600" w:firstLineChars="200"/>
        <w:rPr>
          <w:rFonts w:eastAsia="楷体"/>
          <w:b w:val="0"/>
          <w:color w:val="auto"/>
          <w:sz w:val="30"/>
          <w:szCs w:val="30"/>
        </w:rPr>
      </w:pPr>
      <w:r>
        <w:rPr>
          <w:rFonts w:eastAsia="楷体"/>
          <w:b w:val="0"/>
          <w:color w:val="auto"/>
          <w:sz w:val="30"/>
          <w:szCs w:val="30"/>
        </w:rPr>
        <w:t>（三）起草过程</w:t>
      </w:r>
      <w:bookmarkEnd w:id="0"/>
    </w:p>
    <w:p w14:paraId="43BB449B">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1. 前期基础</w:t>
      </w:r>
    </w:p>
    <w:p w14:paraId="7DB8F37D">
      <w:pPr>
        <w:pStyle w:val="19"/>
        <w:keepNext w:val="0"/>
        <w:keepLines w:val="0"/>
        <w:pageBreakBefore w:val="0"/>
        <w:widowControl/>
        <w:kinsoku/>
        <w:wordWrap/>
        <w:overflowPunct/>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20</w:t>
      </w:r>
      <w:r>
        <w:rPr>
          <w:rFonts w:hint="eastAsia" w:ascii="Times New Roman" w:hAnsi="Times New Roman" w:eastAsia="仿宋" w:cs="Times New Roman"/>
          <w:color w:val="auto"/>
          <w:kern w:val="2"/>
          <w:sz w:val="28"/>
          <w:szCs w:val="28"/>
        </w:rPr>
        <w:t>22</w:t>
      </w:r>
      <w:r>
        <w:rPr>
          <w:rFonts w:ascii="Times New Roman" w:hAnsi="Times New Roman" w:eastAsia="仿宋" w:cs="Times New Roman"/>
          <w:color w:val="auto"/>
          <w:kern w:val="2"/>
          <w:sz w:val="28"/>
          <w:szCs w:val="28"/>
        </w:rPr>
        <w:t>年</w:t>
      </w:r>
      <w:r>
        <w:rPr>
          <w:rFonts w:ascii="Times New Roman" w:hAnsi="Times New Roman" w:eastAsia="仿宋" w:cs="Times New Roman"/>
          <w:color w:val="auto"/>
          <w:kern w:val="2"/>
          <w:sz w:val="28"/>
          <w:szCs w:val="28"/>
        </w:rPr>
        <w:t>起江苏省疾病预防控制中心以江苏省内</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制造企业为研究基地，接触</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人群为研究对象，调查了</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生产车间存在的职业病危害因素及关键控制点，对</w:t>
      </w:r>
      <w:r>
        <w:rPr>
          <w:rFonts w:hint="eastAsia" w:ascii="Times New Roman" w:hAnsi="Times New Roman" w:eastAsia="仿宋" w:cs="Times New Roman"/>
          <w:color w:val="auto"/>
          <w:kern w:val="2"/>
          <w:sz w:val="28"/>
          <w:szCs w:val="28"/>
        </w:rPr>
        <w:t>草铵膦检测方法</w:t>
      </w:r>
      <w:r>
        <w:rPr>
          <w:rFonts w:ascii="Times New Roman" w:hAnsi="Times New Roman" w:eastAsia="仿宋" w:cs="Times New Roman"/>
          <w:color w:val="auto"/>
          <w:kern w:val="2"/>
          <w:sz w:val="28"/>
          <w:szCs w:val="28"/>
        </w:rPr>
        <w:t>及</w:t>
      </w:r>
      <w:r>
        <w:rPr>
          <w:rFonts w:hint="eastAsia" w:ascii="Times New Roman" w:hAnsi="Times New Roman" w:eastAsia="仿宋" w:cs="Times New Roman"/>
          <w:color w:val="auto"/>
          <w:kern w:val="2"/>
          <w:sz w:val="28"/>
          <w:szCs w:val="28"/>
        </w:rPr>
        <w:t>毒</w:t>
      </w:r>
      <w:r>
        <w:rPr>
          <w:rFonts w:ascii="Times New Roman" w:hAnsi="Times New Roman" w:eastAsia="仿宋" w:cs="Times New Roman"/>
          <w:color w:val="auto"/>
          <w:kern w:val="2"/>
          <w:sz w:val="28"/>
          <w:szCs w:val="28"/>
        </w:rPr>
        <w:t>性的研究进展进行了综述。202</w:t>
      </w:r>
      <w:r>
        <w:rPr>
          <w:rFonts w:hint="eastAsia" w:ascii="Times New Roman" w:hAnsi="Times New Roman" w:eastAsia="仿宋" w:cs="Times New Roman"/>
          <w:color w:val="auto"/>
          <w:kern w:val="2"/>
          <w:sz w:val="28"/>
          <w:szCs w:val="28"/>
        </w:rPr>
        <w:t>3</w:t>
      </w:r>
      <w:r>
        <w:rPr>
          <w:rFonts w:ascii="Times New Roman" w:hAnsi="Times New Roman" w:eastAsia="仿宋" w:cs="Times New Roman"/>
          <w:color w:val="auto"/>
          <w:kern w:val="2"/>
          <w:sz w:val="28"/>
          <w:szCs w:val="28"/>
        </w:rPr>
        <w:t>年，实验室通过预实验和对</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理化性质、生产工艺流程、国外检测方法等文献进行调研，确定了</w:t>
      </w:r>
      <w:r>
        <w:rPr>
          <w:rFonts w:hint="eastAsia" w:ascii="Times New Roman" w:hAnsi="Times New Roman" w:eastAsia="仿宋" w:cs="Times New Roman"/>
          <w:color w:val="auto"/>
          <w:kern w:val="2"/>
          <w:sz w:val="28"/>
          <w:szCs w:val="28"/>
        </w:rPr>
        <w:t>空气样本中草铵膦的</w:t>
      </w:r>
      <w:r>
        <w:rPr>
          <w:rFonts w:ascii="Times New Roman" w:hAnsi="Times New Roman" w:eastAsia="仿宋" w:cs="Times New Roman"/>
          <w:color w:val="auto"/>
          <w:kern w:val="2"/>
          <w:sz w:val="28"/>
          <w:szCs w:val="28"/>
        </w:rPr>
        <w:t>采集方法</w:t>
      </w:r>
      <w:r>
        <w:rPr>
          <w:rFonts w:hint="eastAsia" w:ascii="Times New Roman" w:hAnsi="Times New Roman" w:eastAsia="仿宋" w:cs="Times New Roman"/>
          <w:color w:val="auto"/>
          <w:kern w:val="2"/>
          <w:sz w:val="28"/>
          <w:szCs w:val="28"/>
        </w:rPr>
        <w:t>，</w:t>
      </w:r>
      <w:r>
        <w:rPr>
          <w:rFonts w:ascii="Times New Roman" w:hAnsi="Times New Roman" w:eastAsia="仿宋" w:cs="Times New Roman"/>
          <w:color w:val="auto"/>
          <w:kern w:val="2"/>
          <w:sz w:val="28"/>
          <w:szCs w:val="28"/>
        </w:rPr>
        <w:t>并于江苏省</w:t>
      </w:r>
      <w:r>
        <w:rPr>
          <w:rFonts w:hint="eastAsia" w:ascii="Times New Roman" w:hAnsi="Times New Roman" w:eastAsia="仿宋" w:cs="Times New Roman"/>
          <w:color w:val="auto"/>
          <w:kern w:val="2"/>
          <w:sz w:val="28"/>
          <w:szCs w:val="28"/>
        </w:rPr>
        <w:t>南京</w:t>
      </w:r>
      <w:r>
        <w:rPr>
          <w:rFonts w:ascii="Times New Roman" w:hAnsi="Times New Roman" w:eastAsia="仿宋" w:cs="Times New Roman"/>
          <w:color w:val="auto"/>
          <w:kern w:val="2"/>
          <w:sz w:val="28"/>
          <w:szCs w:val="28"/>
        </w:rPr>
        <w:t>市的生产企业收集了</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生产车间的空气样本，</w:t>
      </w:r>
      <w:r>
        <w:rPr>
          <w:rFonts w:hint="eastAsia" w:ascii="Times New Roman" w:hAnsi="Times New Roman" w:eastAsia="仿宋" w:cs="Times New Roman"/>
          <w:color w:val="auto"/>
          <w:kern w:val="2"/>
          <w:sz w:val="28"/>
          <w:szCs w:val="28"/>
        </w:rPr>
        <w:t>同时</w:t>
      </w:r>
      <w:r>
        <w:rPr>
          <w:rFonts w:ascii="Times New Roman" w:hAnsi="Times New Roman" w:eastAsia="仿宋" w:cs="Times New Roman"/>
          <w:color w:val="auto"/>
          <w:kern w:val="2"/>
          <w:sz w:val="28"/>
          <w:szCs w:val="28"/>
        </w:rPr>
        <w:t>研制了空气中</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的检测方法</w:t>
      </w:r>
      <w:r>
        <w:rPr>
          <w:rFonts w:hint="eastAsia" w:ascii="Times New Roman" w:hAnsi="Times New Roman" w:eastAsia="仿宋" w:cs="Times New Roman"/>
          <w:color w:val="auto"/>
          <w:kern w:val="2"/>
          <w:sz w:val="28"/>
          <w:szCs w:val="28"/>
        </w:rPr>
        <w:t>以及生物样本（血浆、尿液）中草铵膦及代谢物的检测方法</w:t>
      </w:r>
      <w:r>
        <w:rPr>
          <w:rFonts w:ascii="Times New Roman" w:hAnsi="Times New Roman" w:eastAsia="仿宋" w:cs="Times New Roman"/>
          <w:color w:val="auto"/>
          <w:kern w:val="2"/>
          <w:sz w:val="28"/>
          <w:szCs w:val="28"/>
        </w:rPr>
        <w:t>，为大量的样本检测做准备。</w:t>
      </w:r>
      <w:r>
        <w:rPr>
          <w:rFonts w:hint="eastAsia" w:ascii="Times New Roman" w:hAnsi="Times New Roman" w:eastAsia="仿宋" w:cs="Times New Roman"/>
          <w:color w:val="auto"/>
          <w:kern w:val="2"/>
          <w:sz w:val="28"/>
          <w:szCs w:val="28"/>
        </w:rPr>
        <w:t>2023年开展的大鼠动物实验通过非靶向代谢组学，结合HMDB数据库对代谢产物进行筛选和鉴定，观察到草铵膦暴露对大鼠多个代谢通路产生影响，包括腺苷代谢、甘油磷脂分解代谢、色氨酸代谢、甘氨酸、丝氨酸和苏氨酸代谢、胆固醇代谢、胆汁酸代谢以及亚麻酸代谢。这些影响可能导致大鼠出现能量代谢异常、细胞膜功能受损、神经递质水平失衡、心血管疾病风险增加、脂肪消化不良以及蛋白质合成受阻等一系列生理问题。</w:t>
      </w: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2</w:t>
      </w: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3</w:t>
      </w:r>
      <w:r>
        <w:rPr>
          <w:rFonts w:ascii="Times New Roman" w:hAnsi="Times New Roman" w:eastAsia="仿宋" w:cs="Times New Roman"/>
          <w:color w:val="auto"/>
          <w:kern w:val="2"/>
          <w:sz w:val="28"/>
          <w:szCs w:val="28"/>
        </w:rPr>
        <w:t>年对调查对象进行连续的健康体检和生产车间空气中</w:t>
      </w:r>
      <w:r>
        <w:rPr>
          <w:rFonts w:hint="eastAsia" w:ascii="Times New Roman" w:hAnsi="Times New Roman" w:eastAsia="仿宋" w:cs="Times New Roman"/>
          <w:color w:val="auto"/>
          <w:kern w:val="2"/>
          <w:sz w:val="28"/>
          <w:szCs w:val="28"/>
        </w:rPr>
        <w:t>以及大鼠血尿中草铵膦</w:t>
      </w:r>
      <w:r>
        <w:rPr>
          <w:rFonts w:ascii="Times New Roman" w:hAnsi="Times New Roman" w:eastAsia="仿宋" w:cs="Times New Roman"/>
          <w:color w:val="auto"/>
          <w:kern w:val="2"/>
          <w:sz w:val="28"/>
          <w:szCs w:val="28"/>
        </w:rPr>
        <w:t>浓度的检测。</w:t>
      </w:r>
    </w:p>
    <w:p w14:paraId="12F30D55">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 项目启动</w:t>
      </w:r>
    </w:p>
    <w:p w14:paraId="23206C43">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3</w:t>
      </w:r>
      <w:r>
        <w:rPr>
          <w:rFonts w:ascii="Times New Roman" w:hAnsi="Times New Roman" w:eastAsia="仿宋" w:cs="Times New Roman"/>
          <w:color w:val="auto"/>
          <w:kern w:val="2"/>
          <w:sz w:val="28"/>
          <w:szCs w:val="28"/>
        </w:rPr>
        <w:t>年10月，</w:t>
      </w:r>
      <w:r>
        <w:rPr>
          <w:rFonts w:ascii="Times New Roman" w:hAnsi="Times New Roman" w:eastAsia="仿宋" w:cs="Times New Roman"/>
          <w:color w:val="auto"/>
          <w:kern w:val="2"/>
          <w:sz w:val="28"/>
          <w:szCs w:val="28"/>
        </w:rPr>
        <w:t>召开项目的启动会，各相关单位派人参与，并且对各单位的具体任务进行了协调和分工。</w:t>
      </w:r>
    </w:p>
    <w:p w14:paraId="611D0336">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3. 现场工作进程</w:t>
      </w:r>
    </w:p>
    <w:p w14:paraId="222AB97C">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见表1-2。</w:t>
      </w:r>
    </w:p>
    <w:p w14:paraId="714E67F2">
      <w:pPr>
        <w:pStyle w:val="19"/>
        <w:spacing w:line="460" w:lineRule="exact"/>
        <w:ind w:firstLine="420" w:firstLineChars="200"/>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表1-2 项目研制过程</w:t>
      </w:r>
    </w:p>
    <w:tbl>
      <w:tblPr>
        <w:tblStyle w:val="21"/>
        <w:tblW w:w="8506" w:type="dxa"/>
        <w:tblInd w:w="-176"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11"/>
        <w:gridCol w:w="6095"/>
      </w:tblGrid>
      <w:tr w14:paraId="15B8080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1" w:type="dxa"/>
            <w:tcBorders>
              <w:top w:val="single" w:color="auto" w:sz="12" w:space="0"/>
              <w:bottom w:val="single" w:color="auto" w:sz="8" w:space="0"/>
            </w:tcBorders>
          </w:tcPr>
          <w:p w14:paraId="66F24F03">
            <w:pPr>
              <w:jc w:val="center"/>
              <w:rPr>
                <w:rFonts w:eastAsia="仿宋"/>
                <w:color w:val="auto"/>
                <w:szCs w:val="21"/>
              </w:rPr>
            </w:pPr>
            <w:r>
              <w:rPr>
                <w:rFonts w:eastAsia="仿宋"/>
                <w:color w:val="auto"/>
                <w:szCs w:val="21"/>
              </w:rPr>
              <w:t>时间</w:t>
            </w:r>
          </w:p>
        </w:tc>
        <w:tc>
          <w:tcPr>
            <w:tcW w:w="6095" w:type="dxa"/>
            <w:tcBorders>
              <w:top w:val="single" w:color="auto" w:sz="12" w:space="0"/>
              <w:bottom w:val="single" w:color="auto" w:sz="8" w:space="0"/>
            </w:tcBorders>
          </w:tcPr>
          <w:p w14:paraId="2B091B00">
            <w:pPr>
              <w:jc w:val="center"/>
              <w:rPr>
                <w:rFonts w:eastAsia="仿宋"/>
                <w:color w:val="auto"/>
                <w:szCs w:val="21"/>
              </w:rPr>
            </w:pPr>
            <w:r>
              <w:rPr>
                <w:rFonts w:eastAsia="仿宋"/>
                <w:color w:val="auto"/>
                <w:szCs w:val="21"/>
              </w:rPr>
              <w:t>主要工作内容</w:t>
            </w:r>
          </w:p>
        </w:tc>
      </w:tr>
      <w:tr w14:paraId="3E3A4E5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1" w:type="dxa"/>
            <w:tcBorders>
              <w:top w:val="single" w:color="auto" w:sz="8" w:space="0"/>
            </w:tcBorders>
            <w:vAlign w:val="center"/>
          </w:tcPr>
          <w:p w14:paraId="1C460E51">
            <w:pPr>
              <w:jc w:val="center"/>
              <w:rPr>
                <w:rFonts w:eastAsia="仿宋"/>
                <w:color w:val="auto"/>
                <w:szCs w:val="21"/>
              </w:rPr>
            </w:pPr>
            <w:r>
              <w:rPr>
                <w:rFonts w:eastAsia="仿宋"/>
                <w:color w:val="auto"/>
                <w:szCs w:val="21"/>
              </w:rPr>
              <w:t>202</w:t>
            </w:r>
            <w:r>
              <w:rPr>
                <w:rFonts w:hint="eastAsia" w:eastAsia="仿宋"/>
                <w:color w:val="auto"/>
                <w:szCs w:val="21"/>
              </w:rPr>
              <w:t>2</w:t>
            </w:r>
            <w:r>
              <w:rPr>
                <w:rFonts w:eastAsia="仿宋"/>
                <w:color w:val="auto"/>
                <w:szCs w:val="21"/>
              </w:rPr>
              <w:t>.10---202</w:t>
            </w:r>
            <w:r>
              <w:rPr>
                <w:rFonts w:hint="eastAsia" w:eastAsia="仿宋"/>
                <w:color w:val="auto"/>
                <w:szCs w:val="21"/>
              </w:rPr>
              <w:t>2</w:t>
            </w:r>
            <w:r>
              <w:rPr>
                <w:rFonts w:eastAsia="仿宋"/>
                <w:color w:val="auto"/>
                <w:szCs w:val="21"/>
              </w:rPr>
              <w:t>.11</w:t>
            </w:r>
          </w:p>
        </w:tc>
        <w:tc>
          <w:tcPr>
            <w:tcW w:w="6095" w:type="dxa"/>
            <w:tcBorders>
              <w:top w:val="single" w:color="auto" w:sz="8" w:space="0"/>
            </w:tcBorders>
            <w:vAlign w:val="bottom"/>
          </w:tcPr>
          <w:p w14:paraId="6656C866">
            <w:pPr>
              <w:jc w:val="center"/>
              <w:rPr>
                <w:rFonts w:eastAsia="仿宋"/>
                <w:color w:val="auto"/>
                <w:szCs w:val="21"/>
              </w:rPr>
            </w:pPr>
            <w:r>
              <w:rPr>
                <w:rFonts w:eastAsia="仿宋"/>
                <w:color w:val="auto"/>
                <w:szCs w:val="21"/>
              </w:rPr>
              <w:t>召开课题启动会，前期工作准备</w:t>
            </w:r>
          </w:p>
        </w:tc>
      </w:tr>
      <w:tr w14:paraId="4D9071B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1" w:type="dxa"/>
            <w:vAlign w:val="center"/>
          </w:tcPr>
          <w:p w14:paraId="1120AB24">
            <w:pPr>
              <w:jc w:val="center"/>
              <w:rPr>
                <w:rFonts w:eastAsia="仿宋"/>
                <w:color w:val="auto"/>
                <w:szCs w:val="21"/>
              </w:rPr>
            </w:pPr>
            <w:r>
              <w:rPr>
                <w:rFonts w:eastAsia="仿宋"/>
                <w:color w:val="auto"/>
                <w:szCs w:val="21"/>
              </w:rPr>
              <w:t>202</w:t>
            </w:r>
            <w:r>
              <w:rPr>
                <w:rFonts w:hint="eastAsia" w:eastAsia="仿宋"/>
                <w:color w:val="auto"/>
                <w:szCs w:val="21"/>
              </w:rPr>
              <w:t>2</w:t>
            </w:r>
            <w:r>
              <w:rPr>
                <w:rFonts w:eastAsia="仿宋"/>
                <w:color w:val="auto"/>
                <w:szCs w:val="21"/>
              </w:rPr>
              <w:t>.12---202</w:t>
            </w:r>
            <w:r>
              <w:rPr>
                <w:rFonts w:hint="eastAsia" w:eastAsia="仿宋"/>
                <w:color w:val="auto"/>
                <w:szCs w:val="21"/>
              </w:rPr>
              <w:t>3</w:t>
            </w:r>
            <w:r>
              <w:rPr>
                <w:rFonts w:eastAsia="仿宋"/>
                <w:color w:val="auto"/>
                <w:szCs w:val="21"/>
              </w:rPr>
              <w:t>.2</w:t>
            </w:r>
          </w:p>
        </w:tc>
        <w:tc>
          <w:tcPr>
            <w:tcW w:w="6095" w:type="dxa"/>
            <w:vAlign w:val="center"/>
          </w:tcPr>
          <w:p w14:paraId="3CBF0E95">
            <w:pPr>
              <w:jc w:val="center"/>
              <w:rPr>
                <w:rFonts w:eastAsia="仿宋"/>
                <w:color w:val="auto"/>
                <w:szCs w:val="21"/>
              </w:rPr>
            </w:pPr>
            <w:r>
              <w:rPr>
                <w:rFonts w:eastAsia="仿宋"/>
                <w:color w:val="auto"/>
                <w:szCs w:val="21"/>
              </w:rPr>
              <w:t>建立实验室检测方法</w:t>
            </w:r>
          </w:p>
        </w:tc>
      </w:tr>
      <w:tr w14:paraId="4F6AA3E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1" w:type="dxa"/>
            <w:vAlign w:val="center"/>
          </w:tcPr>
          <w:p w14:paraId="4DE29608">
            <w:pPr>
              <w:jc w:val="center"/>
              <w:rPr>
                <w:rFonts w:eastAsia="仿宋"/>
                <w:color w:val="auto"/>
                <w:szCs w:val="21"/>
              </w:rPr>
            </w:pPr>
            <w:r>
              <w:rPr>
                <w:rFonts w:eastAsia="仿宋"/>
                <w:color w:val="auto"/>
                <w:szCs w:val="21"/>
              </w:rPr>
              <w:t>202</w:t>
            </w:r>
            <w:r>
              <w:rPr>
                <w:rFonts w:hint="eastAsia" w:eastAsia="仿宋"/>
                <w:color w:val="auto"/>
                <w:szCs w:val="21"/>
              </w:rPr>
              <w:t>3</w:t>
            </w:r>
            <w:r>
              <w:rPr>
                <w:rFonts w:eastAsia="仿宋"/>
                <w:color w:val="auto"/>
                <w:szCs w:val="21"/>
              </w:rPr>
              <w:t>.2-202</w:t>
            </w:r>
            <w:r>
              <w:rPr>
                <w:rFonts w:hint="eastAsia" w:eastAsia="仿宋"/>
                <w:color w:val="auto"/>
                <w:szCs w:val="21"/>
              </w:rPr>
              <w:t>3</w:t>
            </w:r>
            <w:r>
              <w:rPr>
                <w:rFonts w:eastAsia="仿宋"/>
                <w:color w:val="auto"/>
                <w:szCs w:val="21"/>
              </w:rPr>
              <w:t>.3</w:t>
            </w:r>
          </w:p>
        </w:tc>
        <w:tc>
          <w:tcPr>
            <w:tcW w:w="6095" w:type="dxa"/>
            <w:vAlign w:val="center"/>
          </w:tcPr>
          <w:p w14:paraId="0C07347E">
            <w:pPr>
              <w:jc w:val="center"/>
              <w:rPr>
                <w:rFonts w:eastAsia="仿宋"/>
                <w:color w:val="auto"/>
                <w:szCs w:val="21"/>
              </w:rPr>
            </w:pPr>
            <w:r>
              <w:rPr>
                <w:rFonts w:eastAsia="仿宋"/>
                <w:color w:val="auto"/>
                <w:szCs w:val="21"/>
              </w:rPr>
              <w:t>对</w:t>
            </w:r>
            <w:r>
              <w:rPr>
                <w:rFonts w:hint="eastAsia" w:eastAsia="仿宋"/>
                <w:color w:val="auto"/>
                <w:szCs w:val="21"/>
              </w:rPr>
              <w:t>江苏仁信作物保护技术</w:t>
            </w:r>
            <w:r>
              <w:rPr>
                <w:rFonts w:eastAsia="仿宋"/>
                <w:color w:val="auto"/>
                <w:szCs w:val="21"/>
              </w:rPr>
              <w:t>有限公司开展现场</w:t>
            </w:r>
            <w:r>
              <w:rPr>
                <w:rFonts w:hint="eastAsia" w:eastAsia="仿宋"/>
                <w:color w:val="auto"/>
                <w:szCs w:val="21"/>
              </w:rPr>
              <w:t>草铵膦</w:t>
            </w:r>
            <w:r>
              <w:rPr>
                <w:rFonts w:eastAsia="仿宋"/>
                <w:color w:val="auto"/>
                <w:szCs w:val="21"/>
              </w:rPr>
              <w:t>浓度检测、接触人群职业健康体检、尿样和血样的采集、问卷调查</w:t>
            </w:r>
          </w:p>
        </w:tc>
      </w:tr>
      <w:tr w14:paraId="0EB3C1E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1" w:type="dxa"/>
            <w:vAlign w:val="center"/>
          </w:tcPr>
          <w:p w14:paraId="12CFB2FE">
            <w:pPr>
              <w:jc w:val="center"/>
              <w:rPr>
                <w:rFonts w:eastAsia="仿宋"/>
                <w:color w:val="auto"/>
                <w:szCs w:val="21"/>
              </w:rPr>
            </w:pPr>
            <w:r>
              <w:rPr>
                <w:rFonts w:eastAsia="仿宋"/>
                <w:color w:val="auto"/>
                <w:szCs w:val="21"/>
              </w:rPr>
              <w:t>202</w:t>
            </w:r>
            <w:r>
              <w:rPr>
                <w:rFonts w:hint="eastAsia" w:eastAsia="仿宋"/>
                <w:color w:val="auto"/>
                <w:szCs w:val="21"/>
              </w:rPr>
              <w:t>3</w:t>
            </w:r>
            <w:r>
              <w:rPr>
                <w:rFonts w:eastAsia="仿宋"/>
                <w:color w:val="auto"/>
                <w:szCs w:val="21"/>
              </w:rPr>
              <w:t>.</w:t>
            </w:r>
            <w:r>
              <w:rPr>
                <w:rFonts w:hint="eastAsia" w:eastAsia="仿宋"/>
                <w:color w:val="auto"/>
                <w:szCs w:val="21"/>
              </w:rPr>
              <w:t>4-</w:t>
            </w:r>
            <w:r>
              <w:rPr>
                <w:rFonts w:eastAsia="仿宋"/>
                <w:color w:val="auto"/>
                <w:szCs w:val="21"/>
              </w:rPr>
              <w:t>202</w:t>
            </w:r>
            <w:r>
              <w:rPr>
                <w:rFonts w:hint="eastAsia" w:eastAsia="仿宋"/>
                <w:color w:val="auto"/>
                <w:szCs w:val="21"/>
              </w:rPr>
              <w:t>4</w:t>
            </w:r>
            <w:r>
              <w:rPr>
                <w:rFonts w:eastAsia="仿宋"/>
                <w:color w:val="auto"/>
                <w:szCs w:val="21"/>
              </w:rPr>
              <w:t>.</w:t>
            </w:r>
            <w:r>
              <w:rPr>
                <w:rFonts w:hint="eastAsia" w:eastAsia="仿宋"/>
                <w:color w:val="auto"/>
                <w:szCs w:val="21"/>
              </w:rPr>
              <w:t>3</w:t>
            </w:r>
          </w:p>
        </w:tc>
        <w:tc>
          <w:tcPr>
            <w:tcW w:w="6095" w:type="dxa"/>
            <w:vAlign w:val="center"/>
          </w:tcPr>
          <w:p w14:paraId="605A73E1">
            <w:pPr>
              <w:jc w:val="center"/>
              <w:rPr>
                <w:rFonts w:eastAsia="仿宋"/>
                <w:color w:val="auto"/>
                <w:szCs w:val="21"/>
              </w:rPr>
            </w:pPr>
            <w:r>
              <w:rPr>
                <w:rFonts w:eastAsia="仿宋"/>
                <w:color w:val="auto"/>
                <w:szCs w:val="21"/>
              </w:rPr>
              <w:t>化工的现场检测、职业健康体检、尿样的采集、问卷调查，并且对所有的生物样本检测</w:t>
            </w:r>
          </w:p>
        </w:tc>
      </w:tr>
      <w:tr w14:paraId="0A1300D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1" w:type="dxa"/>
            <w:vAlign w:val="center"/>
          </w:tcPr>
          <w:p w14:paraId="6393E3CC">
            <w:pPr>
              <w:jc w:val="center"/>
              <w:rPr>
                <w:rFonts w:eastAsia="仿宋"/>
                <w:color w:val="auto"/>
                <w:szCs w:val="21"/>
              </w:rPr>
            </w:pPr>
            <w:r>
              <w:rPr>
                <w:rFonts w:eastAsia="仿宋"/>
                <w:color w:val="auto"/>
                <w:szCs w:val="21"/>
              </w:rPr>
              <w:t>202</w:t>
            </w:r>
            <w:r>
              <w:rPr>
                <w:rFonts w:hint="eastAsia" w:eastAsia="仿宋"/>
                <w:color w:val="auto"/>
                <w:szCs w:val="21"/>
              </w:rPr>
              <w:t>4</w:t>
            </w:r>
            <w:r>
              <w:rPr>
                <w:rFonts w:eastAsia="仿宋"/>
                <w:color w:val="auto"/>
                <w:szCs w:val="21"/>
              </w:rPr>
              <w:t>.</w:t>
            </w:r>
            <w:r>
              <w:rPr>
                <w:rFonts w:hint="eastAsia" w:eastAsia="仿宋"/>
                <w:color w:val="auto"/>
                <w:szCs w:val="21"/>
              </w:rPr>
              <w:t>4</w:t>
            </w:r>
          </w:p>
        </w:tc>
        <w:tc>
          <w:tcPr>
            <w:tcW w:w="6095" w:type="dxa"/>
            <w:vAlign w:val="center"/>
          </w:tcPr>
          <w:p w14:paraId="32ED22C8">
            <w:pPr>
              <w:jc w:val="center"/>
              <w:rPr>
                <w:rFonts w:eastAsia="仿宋"/>
                <w:color w:val="auto"/>
                <w:szCs w:val="21"/>
              </w:rPr>
            </w:pPr>
            <w:r>
              <w:rPr>
                <w:rFonts w:eastAsia="仿宋"/>
                <w:color w:val="auto"/>
                <w:szCs w:val="21"/>
              </w:rPr>
              <w:t>3家单位对提出的方法进行验证</w:t>
            </w:r>
          </w:p>
        </w:tc>
      </w:tr>
      <w:tr w14:paraId="6E3A9D9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1" w:type="dxa"/>
            <w:vAlign w:val="center"/>
          </w:tcPr>
          <w:p w14:paraId="43B23279">
            <w:pPr>
              <w:jc w:val="center"/>
              <w:rPr>
                <w:rFonts w:eastAsia="仿宋"/>
                <w:color w:val="auto"/>
                <w:szCs w:val="21"/>
              </w:rPr>
            </w:pPr>
            <w:r>
              <w:rPr>
                <w:rFonts w:eastAsia="仿宋"/>
                <w:color w:val="auto"/>
                <w:szCs w:val="21"/>
              </w:rPr>
              <w:t>202</w:t>
            </w:r>
            <w:r>
              <w:rPr>
                <w:rFonts w:hint="eastAsia" w:eastAsia="仿宋"/>
                <w:color w:val="auto"/>
                <w:szCs w:val="21"/>
              </w:rPr>
              <w:t>4</w:t>
            </w:r>
            <w:r>
              <w:rPr>
                <w:rFonts w:eastAsia="仿宋"/>
                <w:color w:val="auto"/>
                <w:szCs w:val="21"/>
              </w:rPr>
              <w:t>.</w:t>
            </w:r>
            <w:r>
              <w:rPr>
                <w:rFonts w:hint="eastAsia" w:eastAsia="仿宋"/>
                <w:color w:val="auto"/>
                <w:szCs w:val="21"/>
              </w:rPr>
              <w:t>6</w:t>
            </w:r>
          </w:p>
        </w:tc>
        <w:tc>
          <w:tcPr>
            <w:tcW w:w="6095" w:type="dxa"/>
            <w:vAlign w:val="center"/>
          </w:tcPr>
          <w:p w14:paraId="4141F43D">
            <w:pPr>
              <w:jc w:val="center"/>
              <w:rPr>
                <w:rFonts w:eastAsia="仿宋"/>
                <w:b/>
                <w:color w:val="auto"/>
                <w:szCs w:val="21"/>
              </w:rPr>
            </w:pPr>
            <w:r>
              <w:rPr>
                <w:rFonts w:eastAsia="仿宋"/>
                <w:color w:val="auto"/>
                <w:szCs w:val="21"/>
              </w:rPr>
              <w:t>资料整理、数据统计分析，并向其他单位征求所制定标准的意见和建议</w:t>
            </w:r>
          </w:p>
        </w:tc>
      </w:tr>
      <w:tr w14:paraId="6F8E914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1" w:type="dxa"/>
            <w:vAlign w:val="center"/>
          </w:tcPr>
          <w:p w14:paraId="75B591E4">
            <w:pPr>
              <w:jc w:val="center"/>
              <w:rPr>
                <w:rFonts w:eastAsia="仿宋"/>
                <w:color w:val="auto"/>
                <w:szCs w:val="21"/>
              </w:rPr>
            </w:pPr>
            <w:r>
              <w:rPr>
                <w:rFonts w:eastAsia="仿宋"/>
                <w:color w:val="auto"/>
                <w:szCs w:val="21"/>
              </w:rPr>
              <w:t>202</w:t>
            </w:r>
            <w:r>
              <w:rPr>
                <w:rFonts w:hint="eastAsia" w:eastAsia="仿宋"/>
                <w:color w:val="auto"/>
                <w:szCs w:val="21"/>
              </w:rPr>
              <w:t>4</w:t>
            </w:r>
            <w:r>
              <w:rPr>
                <w:rFonts w:eastAsia="仿宋"/>
                <w:color w:val="auto"/>
                <w:szCs w:val="21"/>
              </w:rPr>
              <w:t>.</w:t>
            </w:r>
            <w:r>
              <w:rPr>
                <w:rFonts w:hint="eastAsia" w:eastAsia="仿宋"/>
                <w:color w:val="auto"/>
                <w:szCs w:val="21"/>
              </w:rPr>
              <w:t>7</w:t>
            </w:r>
          </w:p>
        </w:tc>
        <w:tc>
          <w:tcPr>
            <w:tcW w:w="6095" w:type="dxa"/>
            <w:vAlign w:val="center"/>
          </w:tcPr>
          <w:p w14:paraId="02F43C26">
            <w:pPr>
              <w:jc w:val="center"/>
              <w:rPr>
                <w:rFonts w:eastAsia="仿宋"/>
                <w:color w:val="auto"/>
                <w:szCs w:val="21"/>
              </w:rPr>
            </w:pPr>
            <w:r>
              <w:rPr>
                <w:rFonts w:eastAsia="仿宋"/>
                <w:color w:val="auto"/>
                <w:szCs w:val="21"/>
              </w:rPr>
              <w:t>根据各单位反馈的意见及建议，对标准草案进行进一步修改，提交标准送审稿</w:t>
            </w:r>
          </w:p>
        </w:tc>
      </w:tr>
      <w:tr w14:paraId="51D586C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1" w:type="dxa"/>
            <w:vAlign w:val="center"/>
          </w:tcPr>
          <w:p w14:paraId="4831B8D1">
            <w:pPr>
              <w:jc w:val="center"/>
              <w:rPr>
                <w:rFonts w:hint="eastAsia" w:eastAsia="仿宋"/>
                <w:color w:val="auto"/>
                <w:szCs w:val="21"/>
                <w:lang w:eastAsia="zh-CN"/>
              </w:rPr>
            </w:pPr>
            <w:r>
              <w:rPr>
                <w:rFonts w:eastAsia="仿宋"/>
                <w:color w:val="auto"/>
                <w:szCs w:val="21"/>
              </w:rPr>
              <w:t>202</w:t>
            </w:r>
            <w:r>
              <w:rPr>
                <w:rFonts w:hint="eastAsia" w:eastAsia="仿宋"/>
                <w:color w:val="auto"/>
                <w:szCs w:val="21"/>
              </w:rPr>
              <w:t>4</w:t>
            </w:r>
            <w:r>
              <w:rPr>
                <w:rFonts w:eastAsia="仿宋"/>
                <w:color w:val="auto"/>
                <w:szCs w:val="21"/>
              </w:rPr>
              <w:t>.</w:t>
            </w:r>
            <w:r>
              <w:rPr>
                <w:rFonts w:hint="eastAsia" w:eastAsia="仿宋"/>
                <w:color w:val="auto"/>
                <w:szCs w:val="21"/>
                <w:lang w:val="en-US" w:eastAsia="zh-CN"/>
              </w:rPr>
              <w:t>8</w:t>
            </w:r>
          </w:p>
        </w:tc>
        <w:tc>
          <w:tcPr>
            <w:tcW w:w="6095" w:type="dxa"/>
            <w:vAlign w:val="center"/>
          </w:tcPr>
          <w:p w14:paraId="7C459ACE">
            <w:pPr>
              <w:jc w:val="center"/>
              <w:rPr>
                <w:rFonts w:eastAsia="仿宋"/>
                <w:color w:val="auto"/>
                <w:szCs w:val="21"/>
              </w:rPr>
            </w:pPr>
            <w:r>
              <w:rPr>
                <w:rFonts w:eastAsia="仿宋"/>
                <w:color w:val="auto"/>
                <w:szCs w:val="21"/>
              </w:rPr>
              <w:t>标准预审，根据预审意见对标准进行修改，并发至标委会专家征求意见，对提出的意见进行修改</w:t>
            </w:r>
          </w:p>
        </w:tc>
      </w:tr>
      <w:tr w14:paraId="6A28432C">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1" w:type="dxa"/>
            <w:tcBorders>
              <w:bottom w:val="single" w:color="auto" w:sz="12" w:space="0"/>
            </w:tcBorders>
            <w:vAlign w:val="center"/>
          </w:tcPr>
          <w:p w14:paraId="0E77C756">
            <w:pPr>
              <w:jc w:val="center"/>
              <w:rPr>
                <w:rFonts w:eastAsia="仿宋"/>
                <w:color w:val="auto"/>
                <w:szCs w:val="21"/>
              </w:rPr>
            </w:pPr>
            <w:r>
              <w:rPr>
                <w:rFonts w:eastAsia="仿宋"/>
                <w:color w:val="auto"/>
                <w:szCs w:val="21"/>
              </w:rPr>
              <w:t>202</w:t>
            </w:r>
            <w:r>
              <w:rPr>
                <w:rFonts w:hint="eastAsia" w:eastAsia="仿宋"/>
                <w:color w:val="auto"/>
                <w:szCs w:val="21"/>
              </w:rPr>
              <w:t>4</w:t>
            </w:r>
            <w:r>
              <w:rPr>
                <w:rFonts w:eastAsia="仿宋"/>
                <w:color w:val="auto"/>
                <w:szCs w:val="21"/>
              </w:rPr>
              <w:t>.XX</w:t>
            </w:r>
          </w:p>
        </w:tc>
        <w:tc>
          <w:tcPr>
            <w:tcW w:w="6095" w:type="dxa"/>
            <w:tcBorders>
              <w:bottom w:val="single" w:color="auto" w:sz="12" w:space="0"/>
            </w:tcBorders>
            <w:vAlign w:val="center"/>
          </w:tcPr>
          <w:p w14:paraId="594B1F1B">
            <w:pPr>
              <w:jc w:val="center"/>
              <w:rPr>
                <w:rFonts w:eastAsia="仿宋"/>
                <w:color w:val="auto"/>
                <w:szCs w:val="21"/>
              </w:rPr>
            </w:pPr>
            <w:r>
              <w:rPr>
                <w:rFonts w:eastAsia="仿宋"/>
                <w:color w:val="auto"/>
                <w:szCs w:val="21"/>
              </w:rPr>
              <w:t>标准送审</w:t>
            </w:r>
          </w:p>
        </w:tc>
      </w:tr>
    </w:tbl>
    <w:p w14:paraId="183E520C">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4. 文本修改过程（包括但不限于根据时间序列概述以下等内容）</w:t>
      </w:r>
    </w:p>
    <w:p w14:paraId="4AC8C8AF">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（1）起草初稿</w:t>
      </w:r>
    </w:p>
    <w:p w14:paraId="0732FB04">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4</w:t>
      </w:r>
      <w:r>
        <w:rPr>
          <w:rFonts w:ascii="Times New Roman" w:hAnsi="Times New Roman" w:eastAsia="仿宋" w:cs="Times New Roman"/>
          <w:color w:val="auto"/>
          <w:kern w:val="2"/>
          <w:sz w:val="28"/>
          <w:szCs w:val="28"/>
        </w:rPr>
        <w:t>年4月-5月对所得资料进行分析、整理和数据统计，编写标准文本和编制说明。</w:t>
      </w:r>
    </w:p>
    <w:p w14:paraId="72BC999A">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（2）专家讨论</w:t>
      </w:r>
    </w:p>
    <w:p w14:paraId="02CB6890">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4</w:t>
      </w:r>
      <w:r>
        <w:rPr>
          <w:rFonts w:ascii="Times New Roman" w:hAnsi="Times New Roman" w:eastAsia="仿宋" w:cs="Times New Roman"/>
          <w:color w:val="auto"/>
          <w:kern w:val="2"/>
          <w:sz w:val="28"/>
          <w:szCs w:val="28"/>
        </w:rPr>
        <w:t>年6月召集各参与单位，讨论标准的初稿，并进行修订。</w:t>
      </w:r>
    </w:p>
    <w:p w14:paraId="487926CA">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（3）社会征求意见</w:t>
      </w:r>
    </w:p>
    <w:p w14:paraId="5A284DBE">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4</w:t>
      </w:r>
      <w:r>
        <w:rPr>
          <w:rFonts w:ascii="Times New Roman" w:hAnsi="Times New Roman" w:eastAsia="仿宋" w:cs="Times New Roman"/>
          <w:color w:val="auto"/>
          <w:kern w:val="2"/>
          <w:sz w:val="28"/>
          <w:szCs w:val="28"/>
        </w:rPr>
        <w:t>年</w:t>
      </w:r>
      <w:r>
        <w:rPr>
          <w:rFonts w:hint="eastAsia" w:ascii="Times New Roman" w:hAnsi="Times New Roman" w:eastAsia="仿宋" w:cs="Times New Roman"/>
          <w:color w:val="auto"/>
          <w:kern w:val="2"/>
          <w:sz w:val="28"/>
          <w:szCs w:val="28"/>
          <w:lang w:val="en-US" w:eastAsia="zh-CN"/>
        </w:rPr>
        <w:t>6</w:t>
      </w:r>
      <w:r>
        <w:rPr>
          <w:rFonts w:ascii="Times New Roman" w:hAnsi="Times New Roman" w:eastAsia="仿宋" w:cs="Times New Roman"/>
          <w:color w:val="auto"/>
          <w:kern w:val="2"/>
          <w:sz w:val="28"/>
          <w:szCs w:val="28"/>
        </w:rPr>
        <w:t>月，向疾病预防控制机构、职业病防治机构、高等院校、监督机构征求意见，对收集的意见进行整理，并按照要求进行修改。</w:t>
      </w:r>
    </w:p>
    <w:p w14:paraId="443A6614">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（4）社会意见研究处理过程和结果</w:t>
      </w:r>
    </w:p>
    <w:p w14:paraId="33029982">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4</w:t>
      </w:r>
      <w:r>
        <w:rPr>
          <w:rFonts w:ascii="Times New Roman" w:hAnsi="Times New Roman" w:eastAsia="仿宋" w:cs="Times New Roman"/>
          <w:color w:val="auto"/>
          <w:kern w:val="2"/>
          <w:sz w:val="28"/>
          <w:szCs w:val="28"/>
        </w:rPr>
        <w:t>年</w:t>
      </w:r>
      <w:r>
        <w:rPr>
          <w:rFonts w:hint="eastAsia" w:ascii="Times New Roman" w:hAnsi="Times New Roman" w:eastAsia="仿宋" w:cs="Times New Roman"/>
          <w:color w:val="auto"/>
          <w:kern w:val="2"/>
          <w:sz w:val="28"/>
          <w:szCs w:val="28"/>
          <w:lang w:val="en-US" w:eastAsia="zh-CN"/>
        </w:rPr>
        <w:t>6</w:t>
      </w:r>
      <w:r>
        <w:rPr>
          <w:rFonts w:ascii="Times New Roman" w:hAnsi="Times New Roman" w:eastAsia="仿宋" w:cs="Times New Roman"/>
          <w:color w:val="auto"/>
          <w:kern w:val="2"/>
          <w:sz w:val="28"/>
          <w:szCs w:val="28"/>
        </w:rPr>
        <w:t>月，</w:t>
      </w:r>
      <w:r>
        <w:rPr>
          <w:rFonts w:ascii="Times New Roman" w:hAnsi="Times New Roman" w:eastAsia="仿宋" w:cs="Times New Roman"/>
          <w:color w:val="auto"/>
          <w:kern w:val="2"/>
          <w:sz w:val="28"/>
          <w:szCs w:val="28"/>
        </w:rPr>
        <w:t>发出征询函</w:t>
      </w:r>
      <w:r>
        <w:rPr>
          <w:rFonts w:hint="eastAsia" w:ascii="Times New Roman" w:hAnsi="Times New Roman" w:eastAsia="仿宋" w:cs="Times New Roman"/>
          <w:color w:val="auto"/>
          <w:kern w:val="2"/>
          <w:sz w:val="28"/>
          <w:szCs w:val="28"/>
          <w:lang w:val="en-US" w:eastAsia="zh-CN"/>
        </w:rPr>
        <w:t>17</w:t>
      </w:r>
      <w:r>
        <w:rPr>
          <w:rFonts w:ascii="Times New Roman" w:hAnsi="Times New Roman" w:eastAsia="仿宋" w:cs="Times New Roman"/>
          <w:color w:val="auto"/>
          <w:kern w:val="2"/>
          <w:sz w:val="28"/>
          <w:szCs w:val="28"/>
        </w:rPr>
        <w:t>份，收到</w:t>
      </w:r>
      <w:r>
        <w:rPr>
          <w:rFonts w:hint="eastAsia" w:ascii="Times New Roman" w:hAnsi="Times New Roman" w:eastAsia="仿宋" w:cs="Times New Roman"/>
          <w:color w:val="auto"/>
          <w:kern w:val="2"/>
          <w:sz w:val="28"/>
          <w:szCs w:val="28"/>
          <w:lang w:val="en-US" w:eastAsia="zh-CN"/>
        </w:rPr>
        <w:t>17</w:t>
      </w:r>
      <w:r>
        <w:rPr>
          <w:rFonts w:ascii="Times New Roman" w:hAnsi="Times New Roman" w:eastAsia="仿宋" w:cs="Times New Roman"/>
          <w:color w:val="auto"/>
          <w:kern w:val="2"/>
          <w:sz w:val="28"/>
          <w:szCs w:val="28"/>
        </w:rPr>
        <w:t>份。本标准共征集意见</w:t>
      </w:r>
      <w:r>
        <w:rPr>
          <w:rFonts w:hint="eastAsia" w:ascii="Times New Roman" w:hAnsi="Times New Roman" w:eastAsia="仿宋" w:cs="Times New Roman"/>
          <w:color w:val="auto"/>
          <w:kern w:val="2"/>
          <w:sz w:val="28"/>
          <w:szCs w:val="28"/>
          <w:lang w:val="en-US" w:eastAsia="zh-CN"/>
        </w:rPr>
        <w:t>54</w:t>
      </w:r>
      <w:r>
        <w:rPr>
          <w:rFonts w:ascii="Times New Roman" w:hAnsi="Times New Roman" w:eastAsia="仿宋" w:cs="Times New Roman"/>
          <w:color w:val="auto"/>
          <w:kern w:val="2"/>
          <w:sz w:val="28"/>
          <w:szCs w:val="28"/>
        </w:rPr>
        <w:t>条，</w:t>
      </w:r>
      <w:r>
        <w:rPr>
          <w:rFonts w:hint="eastAsia" w:ascii="Times New Roman" w:hAnsi="Times New Roman" w:eastAsia="仿宋" w:cs="Times New Roman"/>
          <w:color w:val="auto"/>
          <w:kern w:val="2"/>
          <w:sz w:val="28"/>
          <w:szCs w:val="28"/>
          <w:lang w:val="en-US" w:eastAsia="zh-CN"/>
        </w:rPr>
        <w:t>51</w:t>
      </w:r>
      <w:r>
        <w:rPr>
          <w:rFonts w:ascii="Times New Roman" w:hAnsi="Times New Roman" w:eastAsia="仿宋" w:cs="Times New Roman"/>
          <w:color w:val="auto"/>
          <w:kern w:val="2"/>
          <w:sz w:val="28"/>
          <w:szCs w:val="28"/>
        </w:rPr>
        <w:t>条意见被采纳，</w:t>
      </w:r>
      <w:r>
        <w:rPr>
          <w:rFonts w:hint="eastAsia" w:ascii="Times New Roman" w:hAnsi="Times New Roman" w:eastAsia="仿宋" w:cs="Times New Roman"/>
          <w:color w:val="auto"/>
          <w:kern w:val="2"/>
          <w:sz w:val="28"/>
          <w:szCs w:val="28"/>
          <w:lang w:val="en-US" w:eastAsia="zh-CN"/>
        </w:rPr>
        <w:t>3</w:t>
      </w:r>
      <w:r>
        <w:rPr>
          <w:rFonts w:ascii="Times New Roman" w:hAnsi="Times New Roman" w:eastAsia="仿宋" w:cs="Times New Roman"/>
          <w:color w:val="auto"/>
          <w:kern w:val="2"/>
          <w:sz w:val="28"/>
          <w:szCs w:val="28"/>
        </w:rPr>
        <w:t>条意见未被采纳，具体见征求意见汇总表。</w:t>
      </w:r>
    </w:p>
    <w:p w14:paraId="2780ACD7">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（5）标委会委员意见及处理情况</w:t>
      </w:r>
    </w:p>
    <w:p w14:paraId="4A7CADBE">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4</w:t>
      </w:r>
      <w:r>
        <w:rPr>
          <w:rFonts w:ascii="Times New Roman" w:hAnsi="Times New Roman" w:eastAsia="仿宋" w:cs="Times New Roman"/>
          <w:color w:val="auto"/>
          <w:kern w:val="2"/>
          <w:sz w:val="28"/>
          <w:szCs w:val="28"/>
        </w:rPr>
        <w:t>年</w:t>
      </w:r>
      <w:r>
        <w:rPr>
          <w:rFonts w:hint="eastAsia" w:ascii="Times New Roman" w:hAnsi="Times New Roman" w:eastAsia="仿宋" w:cs="Times New Roman"/>
          <w:color w:val="auto"/>
          <w:kern w:val="2"/>
          <w:sz w:val="28"/>
          <w:szCs w:val="28"/>
        </w:rPr>
        <w:t>XX</w:t>
      </w:r>
      <w:r>
        <w:rPr>
          <w:rFonts w:ascii="Times New Roman" w:hAnsi="Times New Roman" w:eastAsia="仿宋" w:cs="Times New Roman"/>
          <w:color w:val="auto"/>
          <w:kern w:val="2"/>
          <w:sz w:val="28"/>
          <w:szCs w:val="28"/>
        </w:rPr>
        <w:t>月向标委会各位委员发出意见征求函，截至</w:t>
      </w:r>
      <w:r>
        <w:rPr>
          <w:rFonts w:hint="eastAsia" w:ascii="Times New Roman" w:hAnsi="Times New Roman" w:eastAsia="仿宋" w:cs="Times New Roman"/>
          <w:color w:val="auto"/>
          <w:kern w:val="2"/>
          <w:sz w:val="28"/>
          <w:szCs w:val="28"/>
        </w:rPr>
        <w:t>XX</w:t>
      </w:r>
      <w:r>
        <w:rPr>
          <w:rFonts w:ascii="Times New Roman" w:hAnsi="Times New Roman" w:eastAsia="仿宋" w:cs="Times New Roman"/>
          <w:color w:val="auto"/>
          <w:kern w:val="2"/>
          <w:sz w:val="28"/>
          <w:szCs w:val="28"/>
        </w:rPr>
        <w:t>月</w:t>
      </w:r>
      <w:r>
        <w:rPr>
          <w:rFonts w:hint="eastAsia" w:ascii="Times New Roman" w:hAnsi="Times New Roman" w:eastAsia="仿宋" w:cs="Times New Roman"/>
          <w:color w:val="auto"/>
          <w:kern w:val="2"/>
          <w:sz w:val="28"/>
          <w:szCs w:val="28"/>
        </w:rPr>
        <w:t>XX</w:t>
      </w:r>
      <w:r>
        <w:rPr>
          <w:rFonts w:ascii="Times New Roman" w:hAnsi="Times New Roman" w:eastAsia="仿宋" w:cs="Times New Roman"/>
          <w:color w:val="auto"/>
          <w:kern w:val="2"/>
          <w:sz w:val="28"/>
          <w:szCs w:val="28"/>
        </w:rPr>
        <w:t>日，共收到反馈意见</w:t>
      </w:r>
      <w:r>
        <w:rPr>
          <w:rFonts w:hint="eastAsia" w:ascii="Times New Roman" w:hAnsi="Times New Roman" w:eastAsia="仿宋" w:cs="Times New Roman"/>
          <w:color w:val="auto"/>
          <w:kern w:val="2"/>
          <w:sz w:val="28"/>
          <w:szCs w:val="28"/>
        </w:rPr>
        <w:t>X</w:t>
      </w:r>
      <w:r>
        <w:rPr>
          <w:rFonts w:ascii="Times New Roman" w:hAnsi="Times New Roman" w:eastAsia="仿宋" w:cs="Times New Roman"/>
          <w:color w:val="auto"/>
          <w:kern w:val="2"/>
          <w:sz w:val="28"/>
          <w:szCs w:val="28"/>
        </w:rPr>
        <w:t>条，按照要求进行修改。</w:t>
      </w:r>
    </w:p>
    <w:p w14:paraId="2FD24F2A">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（6）标委会预审会议意见及处理情况</w:t>
      </w:r>
    </w:p>
    <w:p w14:paraId="68A05309">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4</w:t>
      </w:r>
      <w:r>
        <w:rPr>
          <w:rFonts w:ascii="Times New Roman" w:hAnsi="Times New Roman" w:eastAsia="仿宋" w:cs="Times New Roman"/>
          <w:color w:val="auto"/>
          <w:kern w:val="2"/>
          <w:sz w:val="28"/>
          <w:szCs w:val="28"/>
        </w:rPr>
        <w:t>年</w:t>
      </w:r>
      <w:r>
        <w:rPr>
          <w:rFonts w:hint="eastAsia" w:ascii="Times New Roman" w:hAnsi="Times New Roman" w:eastAsia="仿宋" w:cs="Times New Roman"/>
          <w:color w:val="auto"/>
          <w:kern w:val="2"/>
          <w:sz w:val="28"/>
          <w:szCs w:val="28"/>
          <w:lang w:val="en-US" w:eastAsia="zh-CN"/>
        </w:rPr>
        <w:t>8</w:t>
      </w:r>
      <w:r>
        <w:rPr>
          <w:rFonts w:ascii="Times New Roman" w:hAnsi="Times New Roman" w:eastAsia="仿宋" w:cs="Times New Roman"/>
          <w:color w:val="auto"/>
          <w:kern w:val="2"/>
          <w:sz w:val="28"/>
          <w:szCs w:val="28"/>
        </w:rPr>
        <w:t>月初在</w:t>
      </w:r>
      <w:r>
        <w:rPr>
          <w:rFonts w:ascii="Times New Roman" w:hAnsi="Times New Roman" w:eastAsia="仿宋" w:cs="Times New Roman"/>
          <w:color w:val="auto"/>
          <w:kern w:val="2"/>
          <w:sz w:val="28"/>
          <w:szCs w:val="28"/>
        </w:rPr>
        <w:t>预审会议上，共收集意见</w:t>
      </w:r>
      <w:r>
        <w:rPr>
          <w:rFonts w:hint="eastAsia" w:ascii="Times New Roman" w:hAnsi="Times New Roman" w:eastAsia="仿宋" w:cs="Times New Roman"/>
          <w:color w:val="auto"/>
          <w:kern w:val="2"/>
          <w:sz w:val="28"/>
          <w:szCs w:val="28"/>
          <w:lang w:val="en-US" w:eastAsia="zh-CN"/>
        </w:rPr>
        <w:t>3</w:t>
      </w:r>
      <w:r>
        <w:rPr>
          <w:rFonts w:ascii="Times New Roman" w:hAnsi="Times New Roman" w:eastAsia="仿宋" w:cs="Times New Roman"/>
          <w:color w:val="auto"/>
          <w:kern w:val="2"/>
          <w:sz w:val="28"/>
          <w:szCs w:val="28"/>
        </w:rPr>
        <w:t>条，按照要求对提出的意见进行修改。</w:t>
      </w:r>
    </w:p>
    <w:p w14:paraId="1B34BA3F">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（7）研制过程中所做的重大修改和调整</w:t>
      </w:r>
    </w:p>
    <w:p w14:paraId="41A279A3">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无。</w:t>
      </w:r>
    </w:p>
    <w:p w14:paraId="15488240">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（8）标准审查结果及审查意见处理情况。</w:t>
      </w:r>
    </w:p>
    <w:p w14:paraId="63648F96">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5. 项目完成情况（以完成报批稿发送秘书处并在系统上提交为最后完成节点）。</w:t>
      </w:r>
    </w:p>
    <w:p w14:paraId="75AE90B6">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4</w:t>
      </w:r>
      <w:r>
        <w:rPr>
          <w:rFonts w:ascii="Times New Roman" w:hAnsi="Times New Roman" w:eastAsia="仿宋" w:cs="Times New Roman"/>
          <w:color w:val="auto"/>
          <w:kern w:val="2"/>
          <w:sz w:val="28"/>
          <w:szCs w:val="28"/>
        </w:rPr>
        <w:t>年X月XX日完成报批稿发送至秘书处，并在系统上提交。</w:t>
      </w:r>
    </w:p>
    <w:p w14:paraId="3E4ABD1C">
      <w:pPr>
        <w:pStyle w:val="2"/>
        <w:spacing w:before="156" w:beforeLines="50" w:after="0" w:line="500" w:lineRule="exact"/>
        <w:ind w:firstLine="640" w:firstLineChars="200"/>
        <w:rPr>
          <w:rFonts w:eastAsia="黑体"/>
          <w:b w:val="0"/>
          <w:color w:val="auto"/>
          <w:sz w:val="32"/>
          <w:szCs w:val="32"/>
        </w:rPr>
      </w:pPr>
      <w:r>
        <w:rPr>
          <w:rFonts w:eastAsia="黑体"/>
          <w:b w:val="0"/>
          <w:color w:val="auto"/>
          <w:sz w:val="32"/>
          <w:szCs w:val="32"/>
        </w:rPr>
        <w:t>二、与相关规范性文件和其他标准的关系</w:t>
      </w:r>
    </w:p>
    <w:p w14:paraId="14D6E0C9">
      <w:pPr>
        <w:pStyle w:val="19"/>
        <w:spacing w:line="50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本标准作为</w:t>
      </w:r>
      <w:r>
        <w:rPr>
          <w:rFonts w:hint="eastAsia" w:ascii="Times New Roman" w:hAnsi="Times New Roman" w:eastAsia="仿宋" w:cs="Times New Roman"/>
          <w:color w:val="auto"/>
          <w:kern w:val="2"/>
          <w:sz w:val="28"/>
          <w:szCs w:val="28"/>
        </w:rPr>
        <w:t>江苏省地方</w:t>
      </w:r>
      <w:r>
        <w:rPr>
          <w:rFonts w:ascii="Times New Roman" w:hAnsi="Times New Roman" w:eastAsia="仿宋" w:cs="Times New Roman"/>
          <w:color w:val="auto"/>
          <w:kern w:val="2"/>
          <w:sz w:val="28"/>
          <w:szCs w:val="28"/>
        </w:rPr>
        <w:t>标准，与《中华人民共和国职业病防治法》配套。</w:t>
      </w:r>
    </w:p>
    <w:p w14:paraId="4C8B3D44">
      <w:pPr>
        <w:pStyle w:val="19"/>
        <w:spacing w:line="50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本标准</w:t>
      </w:r>
      <w:r>
        <w:rPr>
          <w:rFonts w:hint="eastAsia" w:ascii="Times New Roman" w:hAnsi="Times New Roman" w:eastAsia="仿宋" w:cs="Times New Roman"/>
          <w:color w:val="auto"/>
          <w:kern w:val="2"/>
          <w:sz w:val="28"/>
          <w:szCs w:val="28"/>
        </w:rPr>
        <w:t>是对</w:t>
      </w:r>
      <w:r>
        <w:rPr>
          <w:rFonts w:ascii="Times New Roman" w:hAnsi="Times New Roman" w:eastAsia="仿宋" w:cs="Times New Roman"/>
          <w:color w:val="auto"/>
          <w:kern w:val="2"/>
          <w:sz w:val="28"/>
          <w:szCs w:val="28"/>
        </w:rPr>
        <w:t>GBZ/T 300</w:t>
      </w:r>
      <w:r>
        <w:rPr>
          <w:rFonts w:hint="eastAsia" w:ascii="Times New Roman" w:hAnsi="Times New Roman" w:eastAsia="仿宋" w:cs="Times New Roman"/>
          <w:color w:val="auto"/>
          <w:kern w:val="2"/>
          <w:sz w:val="28"/>
          <w:szCs w:val="28"/>
        </w:rPr>
        <w:t>-2017</w:t>
      </w:r>
      <w:r>
        <w:rPr>
          <w:rFonts w:ascii="Times New Roman" w:hAnsi="Times New Roman" w:eastAsia="仿宋" w:cs="Times New Roman"/>
          <w:color w:val="auto"/>
          <w:kern w:val="2"/>
          <w:sz w:val="28"/>
          <w:szCs w:val="28"/>
        </w:rPr>
        <w:t>《工作场所空气有毒物质测定第1部分:总则》</w:t>
      </w:r>
      <w:r>
        <w:rPr>
          <w:rFonts w:hint="eastAsia" w:ascii="Times New Roman" w:hAnsi="Times New Roman" w:eastAsia="仿宋" w:cs="Times New Roman"/>
          <w:color w:val="auto"/>
          <w:kern w:val="2"/>
          <w:sz w:val="28"/>
          <w:szCs w:val="28"/>
        </w:rPr>
        <w:t>以及</w:t>
      </w:r>
      <w:r>
        <w:rPr>
          <w:rFonts w:ascii="Times New Roman" w:hAnsi="Times New Roman" w:eastAsia="仿宋"/>
          <w:color w:val="auto"/>
          <w:sz w:val="28"/>
          <w:szCs w:val="28"/>
        </w:rPr>
        <w:t>GBZ</w:t>
      </w:r>
      <w:r>
        <w:rPr>
          <w:rFonts w:hint="eastAsia" w:ascii="Times New Roman" w:hAnsi="Times New Roman" w:eastAsia="仿宋"/>
          <w:color w:val="auto"/>
          <w:sz w:val="28"/>
          <w:szCs w:val="28"/>
        </w:rPr>
        <w:t xml:space="preserve"> </w:t>
      </w:r>
      <w:r>
        <w:rPr>
          <w:rFonts w:ascii="Times New Roman" w:hAnsi="Times New Roman" w:eastAsia="仿宋"/>
          <w:color w:val="auto"/>
          <w:sz w:val="28"/>
          <w:szCs w:val="28"/>
        </w:rPr>
        <w:t>2.1</w:t>
      </w:r>
      <w:r>
        <w:rPr>
          <w:rFonts w:hint="eastAsia" w:ascii="Times New Roman" w:hAnsi="Times New Roman" w:eastAsia="仿宋"/>
          <w:color w:val="auto"/>
          <w:sz w:val="28"/>
          <w:szCs w:val="28"/>
        </w:rPr>
        <w:t>-2019《工作场所有害因素职业接触限值 第1部分：化学有害因素》</w:t>
      </w:r>
      <w:r>
        <w:rPr>
          <w:rFonts w:ascii="Times New Roman" w:hAnsi="Times New Roman" w:eastAsia="仿宋" w:cs="Times New Roman"/>
          <w:color w:val="auto"/>
          <w:kern w:val="2"/>
          <w:sz w:val="28"/>
          <w:szCs w:val="28"/>
        </w:rPr>
        <w:t>的补充和完善。在编制过程中按照GBZ/T</w:t>
      </w:r>
      <w:r>
        <w:rPr>
          <w:rFonts w:hint="eastAsia" w:ascii="Times New Roman" w:hAnsi="Times New Roman" w:eastAsia="仿宋" w:cs="Times New Roman"/>
          <w:color w:val="auto"/>
          <w:kern w:val="2"/>
          <w:sz w:val="28"/>
          <w:szCs w:val="28"/>
        </w:rPr>
        <w:t xml:space="preserve"> </w:t>
      </w:r>
      <w:r>
        <w:rPr>
          <w:rFonts w:ascii="Times New Roman" w:hAnsi="Times New Roman" w:eastAsia="仿宋" w:cs="Times New Roman"/>
          <w:color w:val="auto"/>
          <w:kern w:val="2"/>
          <w:sz w:val="28"/>
          <w:szCs w:val="28"/>
        </w:rPr>
        <w:t>210.4-2008《职业卫生标准制定指南 第4部分：工作场所空气中化学物质测定方法》、GB/T</w:t>
      </w:r>
      <w:r>
        <w:rPr>
          <w:rFonts w:hint="eastAsia" w:ascii="Times New Roman" w:hAnsi="Times New Roman" w:eastAsia="仿宋" w:cs="Times New Roman"/>
          <w:color w:val="auto"/>
          <w:kern w:val="2"/>
          <w:sz w:val="28"/>
          <w:szCs w:val="28"/>
        </w:rPr>
        <w:t xml:space="preserve"> </w:t>
      </w:r>
      <w:r>
        <w:rPr>
          <w:rFonts w:ascii="Times New Roman" w:hAnsi="Times New Roman" w:eastAsia="仿宋" w:cs="Times New Roman"/>
          <w:color w:val="auto"/>
          <w:kern w:val="2"/>
          <w:sz w:val="28"/>
          <w:szCs w:val="28"/>
        </w:rPr>
        <w:t>20001.4</w:t>
      </w:r>
      <w:r>
        <w:rPr>
          <w:rFonts w:hint="eastAsia" w:ascii="Times New Roman" w:hAnsi="Times New Roman" w:eastAsia="仿宋" w:cs="Times New Roman"/>
          <w:color w:val="auto"/>
          <w:kern w:val="2"/>
          <w:sz w:val="28"/>
          <w:szCs w:val="28"/>
        </w:rPr>
        <w:t>-2015</w:t>
      </w:r>
      <w:r>
        <w:rPr>
          <w:rFonts w:ascii="Times New Roman" w:hAnsi="Times New Roman" w:eastAsia="仿宋" w:cs="Times New Roman"/>
          <w:color w:val="auto"/>
          <w:kern w:val="2"/>
          <w:sz w:val="28"/>
          <w:szCs w:val="28"/>
        </w:rPr>
        <w:t>《标准编写规则 第4部分：试验方法标准》的各项技术指标内容进行研制。</w:t>
      </w:r>
    </w:p>
    <w:p w14:paraId="6B44C61D">
      <w:pPr>
        <w:pStyle w:val="2"/>
        <w:spacing w:before="156" w:beforeLines="50" w:after="0" w:line="500" w:lineRule="exact"/>
        <w:ind w:firstLine="640" w:firstLineChars="200"/>
        <w:rPr>
          <w:rFonts w:eastAsia="黑体"/>
          <w:b w:val="0"/>
          <w:color w:val="auto"/>
          <w:sz w:val="32"/>
          <w:szCs w:val="32"/>
        </w:rPr>
      </w:pPr>
      <w:r>
        <w:rPr>
          <w:rFonts w:eastAsia="黑体"/>
          <w:b w:val="0"/>
          <w:color w:val="auto"/>
          <w:sz w:val="32"/>
          <w:szCs w:val="32"/>
        </w:rPr>
        <w:t>三、国外相关规定和标准情况的对比说明</w:t>
      </w:r>
    </w:p>
    <w:p w14:paraId="37781659">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美国职业安全与卫生研究所（NIOSH）、职业安全与卫生条例管理局（OSHA）、美国政府工业卫生学家会议（ACGIH）及其他国家均未建立工作场所空气中</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的接触限值和配套检测方法。</w:t>
      </w:r>
    </w:p>
    <w:p w14:paraId="5B310287">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目前国内尚未制定工作场所空气中</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国家标准检测方法，国内也未见工作场所空气中</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检测方法的文献报道。</w:t>
      </w:r>
    </w:p>
    <w:p w14:paraId="3051FB41">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通过查阅文献，目前环境介质和</w:t>
      </w:r>
      <w:r>
        <w:rPr>
          <w:rFonts w:hint="eastAsia" w:ascii="Times New Roman" w:hAnsi="Times New Roman" w:eastAsia="仿宋" w:cs="Times New Roman"/>
          <w:color w:val="auto"/>
          <w:kern w:val="2"/>
          <w:sz w:val="28"/>
          <w:szCs w:val="28"/>
        </w:rPr>
        <w:t>食品</w:t>
      </w:r>
      <w:r>
        <w:rPr>
          <w:rFonts w:ascii="Times New Roman" w:hAnsi="Times New Roman" w:eastAsia="仿宋" w:cs="Times New Roman"/>
          <w:color w:val="auto"/>
          <w:kern w:val="2"/>
          <w:sz w:val="28"/>
          <w:szCs w:val="28"/>
        </w:rPr>
        <w:t>中有关</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检测的方法主要为</w:t>
      </w:r>
      <w:r>
        <w:rPr>
          <w:rFonts w:hint="eastAsia" w:ascii="Times New Roman" w:hAnsi="Times New Roman" w:eastAsia="仿宋" w:cs="Times New Roman"/>
          <w:color w:val="auto"/>
          <w:kern w:val="2"/>
          <w:sz w:val="28"/>
          <w:szCs w:val="28"/>
        </w:rPr>
        <w:t>离子</w:t>
      </w:r>
      <w:r>
        <w:rPr>
          <w:rFonts w:ascii="Times New Roman" w:hAnsi="Times New Roman" w:eastAsia="仿宋" w:cs="Times New Roman"/>
          <w:color w:val="auto"/>
          <w:kern w:val="2"/>
          <w:sz w:val="28"/>
          <w:szCs w:val="28"/>
        </w:rPr>
        <w:t>色谱法、液质联用和气质联用等。</w:t>
      </w:r>
    </w:p>
    <w:p w14:paraId="39D2D062">
      <w:pPr>
        <w:pStyle w:val="2"/>
        <w:numPr>
          <w:ilvl w:val="0"/>
          <w:numId w:val="1"/>
        </w:numPr>
        <w:spacing w:before="156" w:beforeLines="50" w:after="0" w:line="500" w:lineRule="exact"/>
        <w:ind w:firstLine="640" w:firstLineChars="200"/>
        <w:rPr>
          <w:rFonts w:eastAsia="黑体"/>
          <w:b w:val="0"/>
          <w:color w:val="auto"/>
          <w:sz w:val="32"/>
          <w:szCs w:val="32"/>
        </w:rPr>
      </w:pPr>
      <w:r>
        <w:rPr>
          <w:rFonts w:eastAsia="黑体"/>
          <w:b w:val="0"/>
          <w:color w:val="auto"/>
          <w:sz w:val="32"/>
          <w:szCs w:val="32"/>
        </w:rPr>
        <w:t>各项技术内容的依据</w:t>
      </w:r>
    </w:p>
    <w:p w14:paraId="0D63395C">
      <w:pPr>
        <w:pStyle w:val="19"/>
        <w:spacing w:line="460" w:lineRule="exact"/>
        <w:ind w:firstLine="560" w:firstLineChars="200"/>
        <w:jc w:val="both"/>
        <w:rPr>
          <w:color w:val="auto"/>
        </w:rPr>
      </w:pPr>
      <w:r>
        <w:rPr>
          <w:rFonts w:ascii="Times New Roman" w:hAnsi="Times New Roman" w:eastAsia="仿宋" w:cs="Times New Roman"/>
          <w:color w:val="auto"/>
          <w:kern w:val="2"/>
          <w:sz w:val="28"/>
          <w:szCs w:val="28"/>
        </w:rPr>
        <w:t>根据</w:t>
      </w:r>
      <w:r>
        <w:rPr>
          <w:rFonts w:hint="eastAsia" w:ascii="Times New Roman" w:hAnsi="Times New Roman" w:eastAsia="仿宋" w:cs="Times New Roman"/>
          <w:color w:val="auto"/>
          <w:kern w:val="2"/>
          <w:sz w:val="28"/>
          <w:szCs w:val="28"/>
        </w:rPr>
        <w:t>草铵膦毒理学资料、</w:t>
      </w:r>
      <w:r>
        <w:rPr>
          <w:rFonts w:ascii="Times New Roman" w:hAnsi="Times New Roman" w:eastAsia="仿宋" w:cs="Times New Roman"/>
          <w:color w:val="auto"/>
          <w:kern w:val="2"/>
          <w:sz w:val="28"/>
          <w:szCs w:val="28"/>
        </w:rPr>
        <w:t>现场调查、空气中</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浓度检测结果，综合OEL</w:t>
      </w:r>
      <w:r>
        <w:rPr>
          <w:rFonts w:hint="eastAsia" w:ascii="Times New Roman" w:hAnsi="Times New Roman" w:eastAsia="仿宋" w:cs="Times New Roman"/>
          <w:color w:val="auto"/>
          <w:kern w:val="2"/>
          <w:sz w:val="28"/>
          <w:szCs w:val="28"/>
        </w:rPr>
        <w:t>等</w:t>
      </w:r>
      <w:r>
        <w:rPr>
          <w:rFonts w:ascii="Times New Roman" w:hAnsi="Times New Roman" w:eastAsia="仿宋" w:cs="Times New Roman"/>
          <w:color w:val="auto"/>
          <w:kern w:val="2"/>
          <w:sz w:val="28"/>
          <w:szCs w:val="28"/>
        </w:rPr>
        <w:t>的计算结果，建议我国</w:t>
      </w:r>
      <w:r>
        <w:rPr>
          <w:rFonts w:hint="eastAsia" w:ascii="Times New Roman" w:hAnsi="Times New Roman" w:eastAsia="仿宋" w:cs="Times New Roman"/>
          <w:color w:val="auto"/>
          <w:kern w:val="2"/>
          <w:sz w:val="28"/>
          <w:szCs w:val="28"/>
        </w:rPr>
        <w:t>草铵膦</w:t>
      </w:r>
      <w:r>
        <w:rPr>
          <w:rFonts w:ascii="Times New Roman" w:hAnsi="Times New Roman" w:eastAsia="仿宋" w:cs="Times New Roman"/>
          <w:color w:val="auto"/>
          <w:kern w:val="2"/>
          <w:sz w:val="28"/>
          <w:szCs w:val="28"/>
        </w:rPr>
        <w:t>职业接触限值为（PC-TWA）：0.</w:t>
      </w:r>
      <w:r>
        <w:rPr>
          <w:rFonts w:hint="eastAsia" w:ascii="Times New Roman" w:hAnsi="Times New Roman" w:eastAsia="仿宋" w:cs="Times New Roman"/>
          <w:color w:val="auto"/>
          <w:kern w:val="2"/>
          <w:sz w:val="28"/>
          <w:szCs w:val="28"/>
          <w:lang w:val="en-US" w:eastAsia="zh-CN"/>
        </w:rPr>
        <w:t xml:space="preserve">12 </w:t>
      </w:r>
      <w:r>
        <w:rPr>
          <w:rFonts w:ascii="Times New Roman" w:hAnsi="Times New Roman" w:eastAsia="仿宋" w:cs="Times New Roman"/>
          <w:color w:val="auto"/>
          <w:kern w:val="2"/>
          <w:sz w:val="28"/>
          <w:szCs w:val="28"/>
        </w:rPr>
        <w:t>mg/m</w:t>
      </w:r>
      <w:r>
        <w:rPr>
          <w:rFonts w:ascii="Times New Roman" w:hAnsi="Times New Roman" w:eastAsia="仿宋" w:cs="Times New Roman"/>
          <w:color w:val="auto"/>
          <w:kern w:val="2"/>
          <w:sz w:val="28"/>
          <w:szCs w:val="28"/>
          <w:vertAlign w:val="superscript"/>
        </w:rPr>
        <w:t>3</w:t>
      </w:r>
      <w:r>
        <w:rPr>
          <w:rFonts w:ascii="Times New Roman" w:hAnsi="Times New Roman" w:eastAsia="仿宋" w:cs="Times New Roman"/>
          <w:color w:val="auto"/>
          <w:kern w:val="2"/>
          <w:sz w:val="28"/>
          <w:szCs w:val="28"/>
        </w:rPr>
        <w:t>。</w:t>
      </w:r>
    </w:p>
    <w:p w14:paraId="6A354159">
      <w:pPr>
        <w:autoSpaceDE w:val="0"/>
        <w:autoSpaceDN w:val="0"/>
        <w:adjustRightInd w:val="0"/>
        <w:snapToGrid w:val="0"/>
        <w:spacing w:before="156" w:beforeLines="50" w:line="500" w:lineRule="exact"/>
        <w:ind w:firstLine="640" w:firstLineChars="200"/>
        <w:jc w:val="left"/>
        <w:textAlignment w:val="bottom"/>
        <w:rPr>
          <w:rFonts w:eastAsia="黑体"/>
          <w:color w:val="auto"/>
          <w:sz w:val="32"/>
          <w:szCs w:val="32"/>
        </w:rPr>
      </w:pPr>
      <w:r>
        <w:rPr>
          <w:rFonts w:hint="eastAsia" w:eastAsia="黑体"/>
          <w:color w:val="auto"/>
          <w:sz w:val="32"/>
          <w:szCs w:val="32"/>
        </w:rPr>
        <w:t>1、草铵膦理化</w:t>
      </w:r>
      <w:r>
        <w:rPr>
          <w:rFonts w:eastAsia="黑体"/>
          <w:color w:val="auto"/>
          <w:sz w:val="32"/>
          <w:szCs w:val="32"/>
        </w:rPr>
        <w:t>性质</w:t>
      </w:r>
    </w:p>
    <w:p w14:paraId="73E8BEF3">
      <w:pPr>
        <w:pStyle w:val="19"/>
        <w:spacing w:line="460" w:lineRule="exact"/>
        <w:ind w:firstLine="560" w:firstLineChars="200"/>
        <w:jc w:val="both"/>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草铵膦（Glufosinate ammonium，CAS：77182-82-2），又名草丁膦，分子式为C</w:t>
      </w:r>
      <w:r>
        <w:rPr>
          <w:rFonts w:ascii="Times New Roman" w:hAnsi="Times New Roman" w:eastAsia="仿宋" w:cs="Times New Roman"/>
          <w:color w:val="auto"/>
          <w:kern w:val="2"/>
          <w:sz w:val="28"/>
          <w:szCs w:val="28"/>
          <w:vertAlign w:val="subscript"/>
        </w:rPr>
        <w:t>5</w:t>
      </w:r>
      <w:r>
        <w:rPr>
          <w:rFonts w:ascii="Times New Roman" w:hAnsi="Times New Roman" w:eastAsia="仿宋" w:cs="Times New Roman"/>
          <w:color w:val="auto"/>
          <w:kern w:val="2"/>
          <w:sz w:val="28"/>
          <w:szCs w:val="28"/>
        </w:rPr>
        <w:t>H</w:t>
      </w:r>
      <w:r>
        <w:rPr>
          <w:rFonts w:ascii="Times New Roman" w:hAnsi="Times New Roman" w:eastAsia="仿宋" w:cs="Times New Roman"/>
          <w:color w:val="auto"/>
          <w:kern w:val="2"/>
          <w:sz w:val="28"/>
          <w:szCs w:val="28"/>
          <w:vertAlign w:val="subscript"/>
        </w:rPr>
        <w:t>1</w:t>
      </w:r>
      <w:r>
        <w:rPr>
          <w:rFonts w:hint="eastAsia" w:ascii="Times New Roman" w:hAnsi="Times New Roman" w:eastAsia="仿宋" w:cs="Times New Roman"/>
          <w:color w:val="auto"/>
          <w:kern w:val="2"/>
          <w:sz w:val="28"/>
          <w:szCs w:val="28"/>
          <w:vertAlign w:val="subscript"/>
        </w:rPr>
        <w:t>8</w:t>
      </w:r>
      <w:r>
        <w:rPr>
          <w:rFonts w:ascii="Times New Roman" w:hAnsi="Times New Roman" w:eastAsia="仿宋" w:cs="Times New Roman"/>
          <w:color w:val="auto"/>
          <w:kern w:val="2"/>
          <w:sz w:val="28"/>
          <w:szCs w:val="28"/>
        </w:rPr>
        <w:t>N</w:t>
      </w:r>
      <w:r>
        <w:rPr>
          <w:rFonts w:hint="eastAsia" w:ascii="Times New Roman" w:hAnsi="Times New Roman" w:eastAsia="仿宋" w:cs="Times New Roman"/>
          <w:color w:val="auto"/>
          <w:kern w:val="2"/>
          <w:sz w:val="28"/>
          <w:szCs w:val="28"/>
          <w:vertAlign w:val="subscript"/>
        </w:rPr>
        <w:t>3</w:t>
      </w:r>
      <w:r>
        <w:rPr>
          <w:rFonts w:ascii="Times New Roman" w:hAnsi="Times New Roman" w:eastAsia="仿宋" w:cs="Times New Roman"/>
          <w:color w:val="auto"/>
          <w:kern w:val="2"/>
          <w:sz w:val="28"/>
          <w:szCs w:val="28"/>
        </w:rPr>
        <w:t>O</w:t>
      </w:r>
      <w:r>
        <w:rPr>
          <w:rFonts w:ascii="Times New Roman" w:hAnsi="Times New Roman" w:eastAsia="仿宋" w:cs="Times New Roman"/>
          <w:color w:val="auto"/>
          <w:kern w:val="2"/>
          <w:sz w:val="28"/>
          <w:szCs w:val="28"/>
          <w:vertAlign w:val="subscript"/>
        </w:rPr>
        <w:t>4</w:t>
      </w:r>
      <w:r>
        <w:rPr>
          <w:rFonts w:ascii="Times New Roman" w:hAnsi="Times New Roman" w:eastAsia="仿宋" w:cs="Times New Roman"/>
          <w:color w:val="auto"/>
          <w:kern w:val="2"/>
          <w:sz w:val="28"/>
          <w:szCs w:val="28"/>
        </w:rPr>
        <w:t>P，相对分子质量为</w:t>
      </w:r>
      <w:r>
        <w:rPr>
          <w:rFonts w:hint="eastAsia" w:ascii="Times New Roman" w:hAnsi="Times New Roman" w:eastAsia="仿宋" w:cs="Times New Roman"/>
          <w:color w:val="auto"/>
          <w:kern w:val="2"/>
          <w:sz w:val="28"/>
          <w:szCs w:val="28"/>
        </w:rPr>
        <w:t>215.2</w:t>
      </w:r>
      <w:r>
        <w:rPr>
          <w:rFonts w:ascii="Times New Roman" w:hAnsi="Times New Roman" w:eastAsia="仿宋" w:cs="Times New Roman"/>
          <w:color w:val="auto"/>
          <w:kern w:val="2"/>
          <w:sz w:val="28"/>
          <w:szCs w:val="28"/>
        </w:rPr>
        <w:t>，为白色、有轻微刺激性气味的固体。水溶性极强（22℃时水中溶解度为1370 g/L），在常见有机溶剂中溶解度较低。在标准大气压下，其熔点为：210℃，沸点为519.1℃，具有一定挥发性，工作场所空气中的草铵膦为气溶胶状态。草铵膦具有手性，通常生产的是L型和D型的外消旋体，L型具有除草作用，D型则几乎无活性。草铵膦稳定性较好，与强氧化剂不相容，主要代谢产物为3-（甲基膦基）丙酸、2-（甲基膦基）乙酸和N-乙酰草铵膦，应在阴凉干燥处避光密封保存。</w:t>
      </w:r>
    </w:p>
    <w:p w14:paraId="5D4FA096">
      <w:pPr>
        <w:autoSpaceDE w:val="0"/>
        <w:autoSpaceDN w:val="0"/>
        <w:adjustRightInd w:val="0"/>
        <w:snapToGrid w:val="0"/>
        <w:spacing w:before="156" w:beforeLines="50" w:line="500" w:lineRule="exact"/>
        <w:ind w:firstLine="640" w:firstLineChars="200"/>
        <w:jc w:val="left"/>
        <w:textAlignment w:val="bottom"/>
        <w:rPr>
          <w:rFonts w:eastAsia="黑体"/>
          <w:color w:val="auto"/>
          <w:sz w:val="32"/>
          <w:szCs w:val="32"/>
        </w:rPr>
      </w:pPr>
      <w:r>
        <w:rPr>
          <w:rFonts w:hint="eastAsia" w:eastAsia="黑体"/>
          <w:color w:val="auto"/>
          <w:sz w:val="32"/>
          <w:szCs w:val="32"/>
        </w:rPr>
        <w:t>2、</w:t>
      </w:r>
      <w:r>
        <w:rPr>
          <w:rFonts w:eastAsia="黑体"/>
          <w:color w:val="auto"/>
          <w:sz w:val="32"/>
          <w:szCs w:val="32"/>
        </w:rPr>
        <w:t>生产、使用情况</w:t>
      </w:r>
    </w:p>
    <w:p w14:paraId="142EB20C">
      <w:pPr>
        <w:spacing w:line="460" w:lineRule="exact"/>
        <w:ind w:firstLine="560" w:firstLineChars="200"/>
        <w:rPr>
          <w:rFonts w:eastAsia="仿宋"/>
          <w:color w:val="auto"/>
          <w:sz w:val="28"/>
          <w:szCs w:val="28"/>
        </w:rPr>
      </w:pPr>
      <w:r>
        <w:rPr>
          <w:rFonts w:eastAsia="仿宋"/>
          <w:color w:val="auto"/>
          <w:sz w:val="28"/>
          <w:szCs w:val="28"/>
        </w:rPr>
        <w:t>草铵膦是一种高效、低毒、低抗性</w:t>
      </w:r>
      <w:r>
        <w:rPr>
          <w:rFonts w:hint="eastAsia" w:eastAsia="仿宋"/>
          <w:color w:val="auto"/>
          <w:sz w:val="28"/>
          <w:szCs w:val="28"/>
        </w:rPr>
        <w:t>且</w:t>
      </w:r>
      <w:r>
        <w:rPr>
          <w:rFonts w:eastAsia="仿宋"/>
          <w:color w:val="auto"/>
          <w:sz w:val="28"/>
          <w:szCs w:val="28"/>
        </w:rPr>
        <w:t>高活性的除草剂。</w:t>
      </w:r>
      <w:r>
        <w:rPr>
          <w:rFonts w:hint="eastAsia" w:eastAsia="仿宋"/>
          <w:color w:val="auto"/>
          <w:sz w:val="28"/>
          <w:szCs w:val="28"/>
        </w:rPr>
        <w:t>因其广泛的杀草谱，在</w:t>
      </w:r>
      <w:r>
        <w:rPr>
          <w:rFonts w:eastAsia="仿宋"/>
          <w:color w:val="auto"/>
          <w:sz w:val="28"/>
          <w:szCs w:val="28"/>
        </w:rPr>
        <w:t>果园、马铃薯田及非耕地田等</w:t>
      </w:r>
      <w:r>
        <w:rPr>
          <w:rFonts w:hint="eastAsia" w:eastAsia="仿宋"/>
          <w:color w:val="auto"/>
          <w:sz w:val="28"/>
          <w:szCs w:val="28"/>
        </w:rPr>
        <w:t>场所对</w:t>
      </w:r>
      <w:r>
        <w:rPr>
          <w:rFonts w:eastAsia="仿宋"/>
          <w:color w:val="auto"/>
          <w:sz w:val="28"/>
          <w:szCs w:val="28"/>
        </w:rPr>
        <w:t>一年生和多年生双子叶及禾本科杂草</w:t>
      </w:r>
      <w:r>
        <w:rPr>
          <w:rFonts w:hint="eastAsia" w:eastAsia="仿宋"/>
          <w:color w:val="auto"/>
          <w:sz w:val="28"/>
          <w:szCs w:val="28"/>
        </w:rPr>
        <w:t>起到了良好的防治作用，</w:t>
      </w:r>
      <w:r>
        <w:rPr>
          <w:rFonts w:eastAsia="仿宋"/>
          <w:color w:val="auto"/>
          <w:sz w:val="28"/>
          <w:szCs w:val="28"/>
        </w:rPr>
        <w:t>属于有机磷类非选择性灭生型除草剂，通过抑制谷氨酰胺合成酶的催化作用导致植物体内氨过量积累，从而抑制光合作用，达到土地杂草的防除目的。草铵膦于1986年化学合成并成功上市，随着抗草铵膦作物（水稻、小麦、玉米等）的研究与推广，抗除草剂转基因作物的出现，世界范围内百草枯、草甘膦等产品禁限用范围持续扩大以及草铵膦价格下降，草铵膦在国内外的需求量逐年增加，现已成长为继草甘膦之后第二大除草剂。</w:t>
      </w:r>
    </w:p>
    <w:p w14:paraId="545BF18B">
      <w:pPr>
        <w:spacing w:line="460" w:lineRule="exact"/>
        <w:ind w:firstLine="560" w:firstLineChars="200"/>
        <w:rPr>
          <w:rFonts w:eastAsia="仿宋"/>
          <w:color w:val="auto"/>
          <w:sz w:val="28"/>
          <w:szCs w:val="28"/>
        </w:rPr>
      </w:pPr>
      <w:r>
        <w:rPr>
          <w:rFonts w:eastAsia="仿宋"/>
          <w:color w:val="auto"/>
          <w:sz w:val="28"/>
          <w:szCs w:val="28"/>
        </w:rPr>
        <w:t>2020年，全球草铵膦的市场规模达到10.5亿美元，位列所有除草剂品种第二位，草铵膦在中国使用量达1.1万吨，中国作为全球最大的供应国和出口国，且未来全球草铵膦产能释放仍主要在中国。随着中国工业化进程的不断推进以及农业化程度的不断提高，草铵膦在国内的使用量仍在持续增加，预计2025年全球草铵膦使用量将达到5万吨水平，届时世界草铵膦的市场需求量将可达到10万吨左右。我国是草铵膦全球最大的供应和出口国，使用量位列第2位。</w:t>
      </w:r>
    </w:p>
    <w:p w14:paraId="0ACDB6E1">
      <w:pPr>
        <w:spacing w:line="460" w:lineRule="exact"/>
        <w:ind w:firstLine="560" w:firstLineChars="200"/>
        <w:rPr>
          <w:rFonts w:eastAsia="仿宋"/>
          <w:color w:val="auto"/>
          <w:sz w:val="28"/>
          <w:szCs w:val="28"/>
        </w:rPr>
      </w:pPr>
      <w:r>
        <w:rPr>
          <w:rFonts w:eastAsia="仿宋"/>
          <w:color w:val="auto"/>
          <w:sz w:val="28"/>
          <w:szCs w:val="28"/>
        </w:rPr>
        <w:t>目前，国内已有的草铵膦生产商主要分布在江苏、山东、安徽及江西等省份，鉴于草铵膦的巨大市场需求潜力，国内有很多家企业扩建新建生产装置。2020年仍有多套规模较大的生产装置建成投产</w:t>
      </w:r>
      <w:r>
        <w:rPr>
          <w:rFonts w:hint="eastAsia" w:eastAsia="仿宋"/>
          <w:color w:val="auto"/>
          <w:sz w:val="28"/>
          <w:szCs w:val="28"/>
        </w:rPr>
        <w:t>。</w:t>
      </w:r>
      <w:r>
        <w:rPr>
          <w:rFonts w:eastAsia="仿宋"/>
          <w:color w:val="auto"/>
          <w:sz w:val="28"/>
          <w:szCs w:val="28"/>
        </w:rPr>
        <w:t>据农业农村部数据显示，截至2023年2月22日，已有61家企业注册生产草铵膦原药产品。在生产过程中，接触草铵膦的工人大大增加，在使用过程中，在许多地方的农民和园艺工作者也接触，全国接触草铵膦人数不下3万人。</w:t>
      </w:r>
    </w:p>
    <w:p w14:paraId="75A73FA7">
      <w:pPr>
        <w:autoSpaceDE w:val="0"/>
        <w:autoSpaceDN w:val="0"/>
        <w:adjustRightInd w:val="0"/>
        <w:snapToGrid w:val="0"/>
        <w:spacing w:before="156" w:beforeLines="50" w:line="500" w:lineRule="exact"/>
        <w:ind w:firstLine="640" w:firstLineChars="200"/>
        <w:jc w:val="left"/>
        <w:textAlignment w:val="bottom"/>
        <w:rPr>
          <w:rFonts w:eastAsia="黑体"/>
          <w:color w:val="auto"/>
          <w:sz w:val="32"/>
          <w:szCs w:val="32"/>
        </w:rPr>
      </w:pPr>
      <w:r>
        <w:rPr>
          <w:rFonts w:hint="eastAsia" w:eastAsia="黑体"/>
          <w:color w:val="auto"/>
          <w:sz w:val="32"/>
          <w:szCs w:val="32"/>
        </w:rPr>
        <w:t>3、一般毒性研究资料</w:t>
      </w:r>
    </w:p>
    <w:p w14:paraId="12636F92">
      <w:pPr>
        <w:shd w:val="clear" w:color="auto" w:fill="FFFFFF"/>
        <w:spacing w:line="460" w:lineRule="exact"/>
        <w:ind w:firstLine="560" w:firstLineChars="200"/>
        <w:rPr>
          <w:rFonts w:eastAsia="黑体"/>
          <w:color w:val="auto"/>
          <w:sz w:val="28"/>
          <w:szCs w:val="28"/>
        </w:rPr>
      </w:pPr>
      <w:r>
        <w:rPr>
          <w:rFonts w:hint="eastAsia" w:eastAsia="黑体"/>
          <w:color w:val="auto"/>
          <w:sz w:val="28"/>
          <w:szCs w:val="28"/>
        </w:rPr>
        <w:t>3</w:t>
      </w:r>
      <w:r>
        <w:rPr>
          <w:rFonts w:eastAsia="黑体"/>
          <w:color w:val="auto"/>
          <w:sz w:val="28"/>
          <w:szCs w:val="28"/>
        </w:rPr>
        <w:t xml:space="preserve">.1 </w:t>
      </w:r>
      <w:r>
        <w:rPr>
          <w:rFonts w:hint="eastAsia" w:eastAsia="黑体"/>
          <w:color w:val="auto"/>
          <w:sz w:val="28"/>
          <w:szCs w:val="28"/>
        </w:rPr>
        <w:t>吸收、分布和代谢</w:t>
      </w:r>
    </w:p>
    <w:p w14:paraId="2D321660">
      <w:pPr>
        <w:spacing w:line="460" w:lineRule="exact"/>
        <w:ind w:firstLine="560" w:firstLineChars="200"/>
        <w:rPr>
          <w:rFonts w:eastAsia="仿宋"/>
          <w:color w:val="auto"/>
          <w:sz w:val="28"/>
          <w:szCs w:val="28"/>
        </w:rPr>
      </w:pPr>
      <w:r>
        <w:rPr>
          <w:rFonts w:eastAsia="仿宋"/>
          <w:color w:val="auto"/>
          <w:sz w:val="28"/>
          <w:szCs w:val="28"/>
        </w:rPr>
        <w:t>在大鼠、狗、羊、母鸡等体内开展的毒代动力学资料表明，无论经什么途径染毒，草铵膦很快但又很少（＜10%）被吸收，也很快被清除。经口染毒时，80%</w:t>
      </w:r>
      <w:r>
        <w:rPr>
          <w:rFonts w:hint="eastAsia" w:eastAsia="仿宋"/>
          <w:color w:val="auto"/>
          <w:sz w:val="28"/>
          <w:szCs w:val="28"/>
          <w:lang w:val="en-US" w:eastAsia="zh-CN"/>
        </w:rPr>
        <w:t>~</w:t>
      </w:r>
      <w:r>
        <w:rPr>
          <w:rFonts w:eastAsia="仿宋"/>
          <w:color w:val="auto"/>
          <w:sz w:val="28"/>
          <w:szCs w:val="28"/>
        </w:rPr>
        <w:t>90%的草铵膦不能被吸收，以原型从粪便排出，但有10%</w:t>
      </w:r>
      <w:r>
        <w:rPr>
          <w:rFonts w:hint="eastAsia" w:eastAsia="仿宋"/>
          <w:color w:val="auto"/>
          <w:sz w:val="28"/>
          <w:szCs w:val="28"/>
        </w:rPr>
        <w:t>~</w:t>
      </w:r>
      <w:r>
        <w:rPr>
          <w:rFonts w:eastAsia="仿宋"/>
          <w:color w:val="auto"/>
          <w:sz w:val="28"/>
          <w:szCs w:val="28"/>
        </w:rPr>
        <w:t>15%从尿液排出，在体内的半衰期为6</w:t>
      </w:r>
      <w:r>
        <w:rPr>
          <w:rFonts w:hint="eastAsia" w:eastAsia="仿宋"/>
          <w:color w:val="auto"/>
          <w:sz w:val="28"/>
          <w:szCs w:val="28"/>
          <w:lang w:val="en-US" w:eastAsia="zh-CN"/>
        </w:rPr>
        <w:t xml:space="preserve"> h</w:t>
      </w:r>
      <w:r>
        <w:rPr>
          <w:rFonts w:hint="eastAsia" w:eastAsia="仿宋"/>
          <w:color w:val="auto"/>
          <w:sz w:val="28"/>
          <w:szCs w:val="28"/>
        </w:rPr>
        <w:t>~</w:t>
      </w:r>
      <w:r>
        <w:rPr>
          <w:rFonts w:eastAsia="仿宋"/>
          <w:color w:val="auto"/>
          <w:sz w:val="28"/>
          <w:szCs w:val="28"/>
        </w:rPr>
        <w:t>7 h。在肾脏和肝脏中的分布最多，脑、血液、脾脏等其他脏器中的含量要比肾、肝中的含量低十多倍</w:t>
      </w:r>
      <w:r>
        <w:rPr>
          <w:rFonts w:hint="eastAsia" w:eastAsia="仿宋"/>
          <w:color w:val="auto"/>
          <w:sz w:val="28"/>
          <w:szCs w:val="28"/>
        </w:rPr>
        <w:t>。尿液和粪便中主要代谢产物为</w:t>
      </w:r>
      <w:r>
        <w:rPr>
          <w:rFonts w:eastAsia="仿宋"/>
          <w:color w:val="auto"/>
          <w:sz w:val="28"/>
          <w:szCs w:val="28"/>
        </w:rPr>
        <w:t>MPP，次要代谢物为MPA、MPB及NAG。</w:t>
      </w:r>
    </w:p>
    <w:p w14:paraId="1DE8FB46">
      <w:pPr>
        <w:shd w:val="clear" w:color="auto" w:fill="FFFFFF"/>
        <w:spacing w:line="460" w:lineRule="exact"/>
        <w:ind w:firstLine="560" w:firstLineChars="200"/>
        <w:rPr>
          <w:rFonts w:eastAsia="黑体"/>
          <w:color w:val="auto"/>
          <w:sz w:val="28"/>
          <w:szCs w:val="28"/>
        </w:rPr>
      </w:pPr>
      <w:r>
        <w:rPr>
          <w:rFonts w:eastAsia="黑体"/>
          <w:color w:val="auto"/>
          <w:sz w:val="28"/>
          <w:szCs w:val="28"/>
        </w:rPr>
        <w:t>3.2</w:t>
      </w:r>
      <w:r>
        <w:rPr>
          <w:rFonts w:hint="eastAsia" w:eastAsia="黑体"/>
          <w:color w:val="auto"/>
          <w:sz w:val="28"/>
          <w:szCs w:val="28"/>
        </w:rPr>
        <w:t xml:space="preserve"> </w:t>
      </w:r>
      <w:r>
        <w:rPr>
          <w:rFonts w:eastAsia="黑体"/>
          <w:color w:val="auto"/>
          <w:sz w:val="28"/>
          <w:szCs w:val="28"/>
        </w:rPr>
        <w:t>一般毒性资料</w:t>
      </w:r>
    </w:p>
    <w:p w14:paraId="4260940C">
      <w:pPr>
        <w:spacing w:line="460" w:lineRule="exact"/>
        <w:ind w:firstLine="560" w:firstLineChars="200"/>
        <w:rPr>
          <w:rFonts w:eastAsia="仿宋"/>
          <w:color w:val="auto"/>
          <w:sz w:val="28"/>
          <w:szCs w:val="28"/>
        </w:rPr>
      </w:pPr>
      <w:r>
        <w:rPr>
          <w:rFonts w:eastAsia="仿宋"/>
          <w:color w:val="auto"/>
          <w:sz w:val="28"/>
          <w:szCs w:val="28"/>
        </w:rPr>
        <w:t>世界卫生组织（WHO）在2016年发布的一份报告中，将草铵膦评估为对人体的急性毒性较低的化学物质。联合国粮农组织-世界卫生组织农药残留联合专家会议（JMPR）将草铵膦的急性参考剂量（ARfD值）定为0.01 mg/kg·bw</w:t>
      </w:r>
      <w:r>
        <w:rPr>
          <w:rFonts w:hint="eastAsia" w:eastAsia="仿宋"/>
          <w:color w:val="auto"/>
          <w:sz w:val="28"/>
          <w:szCs w:val="28"/>
        </w:rPr>
        <w:t>。</w:t>
      </w:r>
      <w:r>
        <w:rPr>
          <w:rFonts w:eastAsia="仿宋"/>
          <w:color w:val="auto"/>
          <w:sz w:val="28"/>
          <w:szCs w:val="28"/>
        </w:rPr>
        <w:t>然而对于长期和慢性暴露的评估仍存在争议。国际癌症研究机构（IARC）于2015年将草铵膦分类为2A，即“可能对人类致癌”。</w:t>
      </w:r>
    </w:p>
    <w:p w14:paraId="569CF04F">
      <w:pPr>
        <w:spacing w:line="460" w:lineRule="exact"/>
        <w:ind w:firstLine="560" w:firstLineChars="200"/>
        <w:rPr>
          <w:rFonts w:eastAsia="仿宋"/>
          <w:color w:val="auto"/>
          <w:sz w:val="28"/>
          <w:szCs w:val="28"/>
        </w:rPr>
      </w:pPr>
      <w:r>
        <w:rPr>
          <w:rFonts w:eastAsia="仿宋"/>
          <w:color w:val="auto"/>
          <w:sz w:val="28"/>
          <w:szCs w:val="28"/>
        </w:rPr>
        <w:t>草铵膦作为一种非蛋白源型氨基酸，结构上类似于兴奋性神经递质谷氨酸，谷氨酸广泛存在于中枢神经系统中，同时也存在与外周组织之中，谷氨酸受体不仅在肺和气道中都有发现，而且在免疫细胞中也有发现</w:t>
      </w:r>
      <w:r>
        <w:rPr>
          <w:rFonts w:hint="eastAsia" w:eastAsia="仿宋"/>
          <w:color w:val="auto"/>
          <w:sz w:val="28"/>
          <w:szCs w:val="28"/>
        </w:rPr>
        <w:t>，因此谷氨酸信号传导在生理和病理条件下都发挥着重要作用。草铵膦能够抑制植物中的谷氨酰胺合成酶，对氮代谢产生影响，对神经末梢神经递质的释放产生影响，进而降低正常冲动传递的效率，导致动物体内神经传导失常而死亡。</w:t>
      </w:r>
    </w:p>
    <w:p w14:paraId="1345A896">
      <w:pPr>
        <w:spacing w:line="460" w:lineRule="exact"/>
        <w:ind w:firstLine="560" w:firstLineChars="200"/>
        <w:rPr>
          <w:rFonts w:eastAsia="仿宋"/>
          <w:color w:val="auto"/>
          <w:sz w:val="28"/>
          <w:szCs w:val="28"/>
        </w:rPr>
      </w:pPr>
      <w:r>
        <w:rPr>
          <w:rFonts w:eastAsia="仿宋"/>
          <w:color w:val="auto"/>
          <w:sz w:val="28"/>
          <w:szCs w:val="28"/>
        </w:rPr>
        <w:t>尽管草铵膦被认为是低毒性，但临床上仍有中毒病例的报道，多为自服草铵膦农药中毒的病例，患者可出现呕吐、头晕、胸闷不适，消化道、心、肺及肾系统损害的临床表现，中度到重度中毒出现中枢神经系统症状，如昏迷、癫痫发作和健忘症，大剂量容易出现呼吸衰竭、休克及心血管系统循环衰竭而死亡</w:t>
      </w:r>
      <w:r>
        <w:rPr>
          <w:rFonts w:hint="eastAsia" w:eastAsia="仿宋"/>
          <w:color w:val="auto"/>
          <w:sz w:val="28"/>
          <w:szCs w:val="28"/>
        </w:rPr>
        <w:t>。</w:t>
      </w:r>
    </w:p>
    <w:p w14:paraId="33A2A9B0">
      <w:pPr>
        <w:spacing w:line="460" w:lineRule="exact"/>
        <w:ind w:firstLine="560" w:firstLineChars="200"/>
        <w:rPr>
          <w:rFonts w:eastAsia="仿宋"/>
          <w:color w:val="auto"/>
          <w:sz w:val="28"/>
          <w:szCs w:val="28"/>
        </w:rPr>
      </w:pPr>
      <w:r>
        <w:rPr>
          <w:rFonts w:eastAsia="仿宋"/>
          <w:color w:val="auto"/>
          <w:sz w:val="28"/>
          <w:szCs w:val="28"/>
        </w:rPr>
        <w:t>关于草铵膦远期危害的报道不一，动物实验表明草铵膦还具有肺脏毒性、神经毒性、生长发育毒性等。研究发现，暴露于草铵膦气溶胶后诱发小鼠癫痫发作，导致支气管肺泡腔炎症细胞的增加，连续暴露可引起中度肺部炎症，并显著增加气道阻力</w:t>
      </w:r>
      <w:r>
        <w:rPr>
          <w:rFonts w:hint="eastAsia" w:eastAsia="仿宋"/>
          <w:color w:val="auto"/>
          <w:sz w:val="28"/>
          <w:szCs w:val="28"/>
        </w:rPr>
        <w:t>。低剂量草铵膦会影响初生动物脑部发育，动物食用过量草铵膦会导致发抖、抽搐、记忆丧失等中毒症状。国内有报道，草铵膦对斑马鱼胚胎有显著的致死作用，并且诱发脊柱畸形以及阻碍黑色素沉着，同时抑制Vasa基因表达，对斑马鱼胚胎具有生殖毒性。有实验表明，草铵膦可引起雌性大鼠严重的母体毒性反应，具有胎鼠毒性，或致胎鼠骨骼发育迟缓、个别骨骼发育畸形等危害。此外，产前暴露草铵膦通过干扰肠道微生物群和代谢，导致后代小鼠的运动活动减少和记忆形成受损，还能特异性诱发小鼠脑泡细胞和神经管中神经上皮细胞凋亡，从而诱发神经损伤，导致自闭症的产生。同时研究发现，非洲爪蟾蝌蚪在草铵膦暴露后，甲状腺面积和甲状腺滤泡上皮高度显著增加，并且会抑制体内乙酰胆碱酯酶和丁酰胆碱酯酶的活性，诱导蟾蜍蝌蚪血液红细胞微核率升高。另外有研究显示草铵膦会造成人的DNA氧化性损伤，长期接触农药导致认知及神经行为障碍。近期有报道称，在体外草铵膦暴露后，会对人类前列腺上皮细胞产生直接作用，影响精子线粒体的呼吸效率，对人体内分泌产生潜在干扰作用。综上所述，草铵膦毒性主要表现在肝、肺、神经系统、生殖系统及内分泌系统等方面。</w:t>
      </w:r>
    </w:p>
    <w:p w14:paraId="25DF21B2">
      <w:pPr>
        <w:numPr>
          <w:ilvl w:val="0"/>
          <w:numId w:val="2"/>
        </w:numPr>
        <w:shd w:val="clear" w:color="auto" w:fill="FFFFFF"/>
        <w:spacing w:line="460" w:lineRule="exact"/>
        <w:ind w:firstLine="560" w:firstLineChars="200"/>
        <w:rPr>
          <w:rFonts w:hint="eastAsia" w:eastAsia="仿宋"/>
          <w:color w:val="auto"/>
          <w:sz w:val="28"/>
          <w:szCs w:val="28"/>
        </w:rPr>
      </w:pPr>
      <w:r>
        <w:rPr>
          <w:rFonts w:hint="eastAsia" w:eastAsia="仿宋"/>
          <w:color w:val="auto"/>
          <w:sz w:val="28"/>
          <w:szCs w:val="28"/>
        </w:rPr>
        <w:t>急性毒性</w:t>
      </w:r>
    </w:p>
    <w:p w14:paraId="61887449">
      <w:pPr>
        <w:numPr>
          <w:ilvl w:val="0"/>
          <w:numId w:val="0"/>
        </w:numPr>
        <w:shd w:val="clear" w:color="auto" w:fill="FFFFFF"/>
        <w:spacing w:line="460" w:lineRule="exact"/>
        <w:ind w:firstLine="560" w:firstLineChars="200"/>
        <w:rPr>
          <w:rFonts w:eastAsia="仿宋"/>
          <w:color w:val="auto"/>
          <w:sz w:val="28"/>
          <w:szCs w:val="28"/>
        </w:rPr>
      </w:pPr>
      <w:r>
        <w:rPr>
          <w:rFonts w:hint="eastAsia" w:eastAsia="仿宋"/>
          <w:color w:val="auto"/>
          <w:sz w:val="28"/>
          <w:szCs w:val="28"/>
        </w:rPr>
        <w:t>静水法研究得出草铵膦对中华鳑鲏24 h、48 h、72 h、96 h的LC</w:t>
      </w:r>
      <w:r>
        <w:rPr>
          <w:rFonts w:hint="eastAsia" w:eastAsia="仿宋"/>
          <w:color w:val="auto"/>
          <w:sz w:val="28"/>
          <w:szCs w:val="28"/>
          <w:vertAlign w:val="subscript"/>
        </w:rPr>
        <w:t>50</w:t>
      </w:r>
      <w:r>
        <w:rPr>
          <w:rFonts w:hint="eastAsia" w:eastAsia="仿宋"/>
          <w:color w:val="auto"/>
          <w:sz w:val="28"/>
          <w:szCs w:val="28"/>
        </w:rPr>
        <w:t>分别为43.248 mg/L、40.477 mg/L、38.765 mg/L、37.744 mg/L。草铵膦对大型蚤的24 h-LC</w:t>
      </w:r>
      <w:r>
        <w:rPr>
          <w:rFonts w:hint="eastAsia" w:eastAsia="仿宋"/>
          <w:color w:val="auto"/>
          <w:sz w:val="28"/>
          <w:szCs w:val="28"/>
          <w:vertAlign w:val="subscript"/>
        </w:rPr>
        <w:t>50</w:t>
      </w:r>
      <w:r>
        <w:rPr>
          <w:rFonts w:hint="eastAsia" w:eastAsia="仿宋"/>
          <w:color w:val="auto"/>
          <w:sz w:val="28"/>
          <w:szCs w:val="28"/>
        </w:rPr>
        <w:t>为37.47 mg/L，最大致死浓度70 mg/L，死亡率为100%，以上结果表明草铵膦属于低毒类农药。</w:t>
      </w:r>
    </w:p>
    <w:p w14:paraId="5DD6DBF9">
      <w:pPr>
        <w:spacing w:line="460" w:lineRule="exact"/>
        <w:ind w:firstLine="560" w:firstLineChars="200"/>
        <w:rPr>
          <w:rFonts w:hint="eastAsia" w:eastAsia="仿宋"/>
          <w:color w:val="auto"/>
          <w:sz w:val="28"/>
          <w:szCs w:val="28"/>
        </w:rPr>
      </w:pPr>
      <w:r>
        <w:rPr>
          <w:rFonts w:eastAsia="仿宋"/>
          <w:color w:val="auto"/>
          <w:sz w:val="28"/>
          <w:szCs w:val="28"/>
        </w:rPr>
        <w:t>在一项急性眼刺激研究中，在9只兔眼结膜囊内滴入0.1</w:t>
      </w:r>
      <w:r>
        <w:rPr>
          <w:rFonts w:hint="eastAsia" w:eastAsia="仿宋"/>
          <w:color w:val="auto"/>
          <w:sz w:val="28"/>
          <w:szCs w:val="28"/>
          <w:lang w:val="en-US" w:eastAsia="zh-CN"/>
        </w:rPr>
        <w:t xml:space="preserve"> </w:t>
      </w:r>
      <w:r>
        <w:rPr>
          <w:rFonts w:eastAsia="仿宋"/>
          <w:color w:val="auto"/>
          <w:sz w:val="28"/>
          <w:szCs w:val="28"/>
        </w:rPr>
        <w:t>g草铵膦与0.9%氯化钠预混合液。1 min后，用生理盐水冲洗3只动物的眼睛。其余6只在24 h后被冲洗干净。在使用后1 h、24 h、48 h和72 h，观察到虹膜轻微刺激（1 h）、结膜发红（1</w:t>
      </w:r>
      <w:r>
        <w:rPr>
          <w:rFonts w:hint="eastAsia" w:eastAsia="仿宋"/>
          <w:color w:val="auto"/>
          <w:sz w:val="28"/>
          <w:szCs w:val="28"/>
          <w:lang w:val="en-US" w:eastAsia="zh-CN"/>
        </w:rPr>
        <w:t xml:space="preserve"> </w:t>
      </w:r>
      <w:r>
        <w:rPr>
          <w:rFonts w:eastAsia="仿宋"/>
          <w:color w:val="auto"/>
          <w:sz w:val="28"/>
          <w:szCs w:val="28"/>
        </w:rPr>
        <w:t>h-48 h）、眼睑肿胀以及流泪（1</w:t>
      </w:r>
      <w:r>
        <w:rPr>
          <w:rFonts w:hint="eastAsia" w:eastAsia="仿宋"/>
          <w:color w:val="auto"/>
          <w:sz w:val="28"/>
          <w:szCs w:val="28"/>
          <w:lang w:val="en-US" w:eastAsia="zh-CN"/>
        </w:rPr>
        <w:t xml:space="preserve"> </w:t>
      </w:r>
      <w:r>
        <w:rPr>
          <w:rFonts w:eastAsia="仿宋"/>
          <w:color w:val="auto"/>
          <w:sz w:val="28"/>
          <w:szCs w:val="28"/>
        </w:rPr>
        <w:t>h-7 h）。当对家兔一次性经皮染毒，草铵膦染毒剂量为500 mg，发现家兔背部皮肤产生明显的刺激反应，出现小丘疹和红斑。急性毒性数据见表</w:t>
      </w:r>
      <w:r>
        <w:rPr>
          <w:rFonts w:hint="eastAsia" w:eastAsia="仿宋"/>
          <w:color w:val="auto"/>
          <w:sz w:val="28"/>
          <w:szCs w:val="28"/>
        </w:rPr>
        <w:t>1。</w:t>
      </w:r>
    </w:p>
    <w:p w14:paraId="7651844A">
      <w:pPr>
        <w:shd w:val="clear" w:color="auto" w:fill="FFFFFF"/>
        <w:spacing w:line="360" w:lineRule="auto"/>
        <w:jc w:val="center"/>
        <w:rPr>
          <w:rFonts w:hint="eastAsia" w:ascii="Times New Roman" w:hAnsi="Times New Roman" w:eastAsia="仿宋" w:cs="Times New Roman"/>
          <w:color w:val="auto"/>
          <w:szCs w:val="21"/>
        </w:rPr>
      </w:pPr>
      <w:r>
        <w:rPr>
          <w:rFonts w:ascii="Times New Roman" w:hAnsi="Times New Roman" w:eastAsia="仿宋" w:cs="Times New Roman"/>
          <w:color w:val="auto"/>
          <w:szCs w:val="21"/>
        </w:rPr>
        <w:t>表</w:t>
      </w:r>
      <w:r>
        <w:rPr>
          <w:rFonts w:hint="eastAsia" w:ascii="Times New Roman" w:hAnsi="Times New Roman" w:eastAsia="仿宋" w:cs="Times New Roman"/>
          <w:color w:val="auto"/>
          <w:szCs w:val="21"/>
          <w:lang w:val="en-US" w:eastAsia="zh-CN"/>
        </w:rPr>
        <w:t>1</w:t>
      </w:r>
      <w:r>
        <w:rPr>
          <w:rFonts w:ascii="Times New Roman" w:hAnsi="Times New Roman" w:eastAsia="仿宋" w:cs="Times New Roman"/>
          <w:color w:val="auto"/>
          <w:szCs w:val="21"/>
        </w:rPr>
        <w:t xml:space="preserve"> </w:t>
      </w:r>
      <w:r>
        <w:rPr>
          <w:rFonts w:hint="eastAsia" w:ascii="Times New Roman" w:hAnsi="Times New Roman" w:eastAsia="仿宋" w:cs="Times New Roman"/>
          <w:color w:val="auto"/>
          <w:szCs w:val="21"/>
          <w:lang w:val="en-US" w:eastAsia="zh-CN"/>
        </w:rPr>
        <w:t>草铵膦</w:t>
      </w:r>
      <w:r>
        <w:rPr>
          <w:rFonts w:ascii="Times New Roman" w:hAnsi="Times New Roman" w:eastAsia="仿宋" w:cs="Times New Roman"/>
          <w:color w:val="auto"/>
          <w:szCs w:val="21"/>
        </w:rPr>
        <w:t>的急性毒性</w:t>
      </w:r>
    </w:p>
    <w:tbl>
      <w:tblPr>
        <w:tblStyle w:val="21"/>
        <w:tblW w:w="9025" w:type="dxa"/>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537"/>
        <w:gridCol w:w="2268"/>
        <w:gridCol w:w="850"/>
        <w:gridCol w:w="1134"/>
        <w:gridCol w:w="1134"/>
        <w:gridCol w:w="2102"/>
      </w:tblGrid>
      <w:tr w14:paraId="6336B84D">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tcBorders>
              <w:top w:val="single" w:color="000000" w:sz="12" w:space="0"/>
              <w:bottom w:val="single" w:color="000000" w:sz="8" w:space="0"/>
            </w:tcBorders>
            <w:shd w:val="clear" w:color="auto" w:fill="auto"/>
            <w:vAlign w:val="center"/>
          </w:tcPr>
          <w:p w14:paraId="77C52D53">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物种</w:t>
            </w:r>
          </w:p>
        </w:tc>
        <w:tc>
          <w:tcPr>
            <w:tcW w:w="2268" w:type="dxa"/>
            <w:tcBorders>
              <w:top w:val="single" w:color="000000" w:sz="12" w:space="0"/>
              <w:bottom w:val="single" w:color="000000" w:sz="8" w:space="0"/>
            </w:tcBorders>
            <w:shd w:val="clear" w:color="auto" w:fill="auto"/>
            <w:vAlign w:val="center"/>
          </w:tcPr>
          <w:p w14:paraId="026E112F">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品系</w:t>
            </w:r>
          </w:p>
        </w:tc>
        <w:tc>
          <w:tcPr>
            <w:tcW w:w="850" w:type="dxa"/>
            <w:tcBorders>
              <w:top w:val="single" w:color="000000" w:sz="12" w:space="0"/>
              <w:bottom w:val="single" w:color="000000" w:sz="8" w:space="0"/>
            </w:tcBorders>
            <w:shd w:val="clear" w:color="auto" w:fill="auto"/>
            <w:vAlign w:val="center"/>
          </w:tcPr>
          <w:p w14:paraId="209B3509">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性别</w:t>
            </w:r>
          </w:p>
        </w:tc>
        <w:tc>
          <w:tcPr>
            <w:tcW w:w="1134" w:type="dxa"/>
            <w:tcBorders>
              <w:top w:val="single" w:color="000000" w:sz="12" w:space="0"/>
              <w:bottom w:val="single" w:color="000000" w:sz="8" w:space="0"/>
            </w:tcBorders>
            <w:shd w:val="clear" w:color="auto" w:fill="auto"/>
            <w:vAlign w:val="center"/>
          </w:tcPr>
          <w:p w14:paraId="27BE33A9">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途径</w:t>
            </w:r>
          </w:p>
        </w:tc>
        <w:tc>
          <w:tcPr>
            <w:tcW w:w="1134" w:type="dxa"/>
            <w:tcBorders>
              <w:top w:val="single" w:color="000000" w:sz="12" w:space="0"/>
              <w:bottom w:val="single" w:color="000000" w:sz="8" w:space="0"/>
            </w:tcBorders>
            <w:shd w:val="clear" w:color="auto" w:fill="auto"/>
            <w:vAlign w:val="center"/>
          </w:tcPr>
          <w:p w14:paraId="617ABAD2">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纯度（%）</w:t>
            </w:r>
          </w:p>
        </w:tc>
        <w:tc>
          <w:tcPr>
            <w:tcW w:w="2102" w:type="dxa"/>
            <w:tcBorders>
              <w:top w:val="single" w:color="000000" w:sz="12" w:space="0"/>
              <w:bottom w:val="single" w:color="000000" w:sz="8" w:space="0"/>
            </w:tcBorders>
            <w:shd w:val="clear" w:color="auto" w:fill="auto"/>
            <w:vAlign w:val="center"/>
          </w:tcPr>
          <w:p w14:paraId="2137A456">
            <w:pPr>
              <w:widowControl/>
              <w:spacing w:line="360" w:lineRule="exact"/>
              <w:jc w:val="center"/>
              <w:textAlignment w:val="center"/>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LD</w:t>
            </w:r>
            <w:r>
              <w:rPr>
                <w:rFonts w:hint="default" w:ascii="Times New Roman" w:hAnsi="Times New Roman" w:cs="Times New Roman"/>
                <w:color w:val="auto"/>
                <w:kern w:val="0"/>
                <w:szCs w:val="21"/>
                <w:vertAlign w:val="subscript"/>
              </w:rPr>
              <w:t>50</w:t>
            </w:r>
            <w:r>
              <w:rPr>
                <w:rFonts w:hint="default" w:ascii="Times New Roman" w:hAnsi="Times New Roman" w:cs="Times New Roman"/>
                <w:color w:val="auto"/>
                <w:kern w:val="0"/>
                <w:szCs w:val="21"/>
              </w:rPr>
              <w:t>（mg/kg·bw）</w:t>
            </w:r>
          </w:p>
          <w:p w14:paraId="11A556E2">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or LC</w:t>
            </w:r>
            <w:r>
              <w:rPr>
                <w:rFonts w:hint="default" w:ascii="Times New Roman" w:hAnsi="Times New Roman" w:cs="Times New Roman"/>
                <w:color w:val="auto"/>
                <w:kern w:val="0"/>
                <w:szCs w:val="21"/>
                <w:vertAlign w:val="subscript"/>
              </w:rPr>
              <w:t>50</w:t>
            </w:r>
            <w:r>
              <w:rPr>
                <w:rFonts w:hint="default" w:ascii="Times New Roman" w:hAnsi="Times New Roman" w:cs="Times New Roman"/>
                <w:color w:val="auto"/>
                <w:kern w:val="0"/>
                <w:szCs w:val="21"/>
              </w:rPr>
              <w:t>(mg/L)</w:t>
            </w:r>
          </w:p>
        </w:tc>
      </w:tr>
      <w:tr w14:paraId="192435EF">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tcBorders>
              <w:top w:val="single" w:color="000000" w:sz="8" w:space="0"/>
            </w:tcBorders>
            <w:shd w:val="clear" w:color="auto" w:fill="auto"/>
            <w:vAlign w:val="center"/>
          </w:tcPr>
          <w:p w14:paraId="39D1E4EE">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小鼠</w:t>
            </w:r>
          </w:p>
        </w:tc>
        <w:tc>
          <w:tcPr>
            <w:tcW w:w="2268" w:type="dxa"/>
            <w:vMerge w:val="restart"/>
            <w:tcBorders>
              <w:top w:val="single" w:color="000000" w:sz="8" w:space="0"/>
            </w:tcBorders>
            <w:shd w:val="clear" w:color="auto" w:fill="auto"/>
            <w:vAlign w:val="center"/>
          </w:tcPr>
          <w:p w14:paraId="09628483">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NMRI</w:t>
            </w:r>
          </w:p>
        </w:tc>
        <w:tc>
          <w:tcPr>
            <w:tcW w:w="850" w:type="dxa"/>
            <w:tcBorders>
              <w:top w:val="single" w:color="000000" w:sz="8" w:space="0"/>
            </w:tcBorders>
            <w:shd w:val="clear" w:color="auto" w:fill="auto"/>
            <w:vAlign w:val="center"/>
          </w:tcPr>
          <w:p w14:paraId="608CA8C7">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tcBorders>
              <w:top w:val="single" w:color="000000" w:sz="8" w:space="0"/>
            </w:tcBorders>
            <w:shd w:val="clear" w:color="auto" w:fill="auto"/>
            <w:vAlign w:val="center"/>
          </w:tcPr>
          <w:p w14:paraId="4D7819AB">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经口</w:t>
            </w:r>
          </w:p>
        </w:tc>
        <w:tc>
          <w:tcPr>
            <w:tcW w:w="1134" w:type="dxa"/>
            <w:vMerge w:val="restart"/>
            <w:tcBorders>
              <w:top w:val="single" w:color="000000" w:sz="8" w:space="0"/>
            </w:tcBorders>
            <w:shd w:val="clear" w:color="auto" w:fill="auto"/>
            <w:vAlign w:val="center"/>
          </w:tcPr>
          <w:p w14:paraId="0905AF77">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92.1</w:t>
            </w:r>
          </w:p>
        </w:tc>
        <w:tc>
          <w:tcPr>
            <w:tcW w:w="2102" w:type="dxa"/>
            <w:tcBorders>
              <w:top w:val="single" w:color="000000" w:sz="8" w:space="0"/>
            </w:tcBorders>
            <w:shd w:val="clear" w:color="auto" w:fill="auto"/>
            <w:vAlign w:val="center"/>
          </w:tcPr>
          <w:p w14:paraId="2B84235C">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431</w:t>
            </w:r>
          </w:p>
        </w:tc>
      </w:tr>
      <w:tr w14:paraId="38F1C15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4A227A7D">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0B9E5F60">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6FCA6E26">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1891F004">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00F44964">
            <w:pPr>
              <w:spacing w:line="360" w:lineRule="exact"/>
              <w:jc w:val="center"/>
              <w:rPr>
                <w:rFonts w:hint="default" w:ascii="Times New Roman" w:hAnsi="Times New Roman" w:cs="Times New Roman"/>
                <w:color w:val="auto"/>
                <w:szCs w:val="21"/>
              </w:rPr>
            </w:pPr>
          </w:p>
        </w:tc>
        <w:tc>
          <w:tcPr>
            <w:tcW w:w="2102" w:type="dxa"/>
            <w:shd w:val="clear" w:color="auto" w:fill="auto"/>
            <w:vAlign w:val="center"/>
          </w:tcPr>
          <w:p w14:paraId="0298F391">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416</w:t>
            </w:r>
          </w:p>
        </w:tc>
      </w:tr>
      <w:tr w14:paraId="6EE7D25D">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7D17177B">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小鼠</w:t>
            </w:r>
          </w:p>
        </w:tc>
        <w:tc>
          <w:tcPr>
            <w:tcW w:w="2268" w:type="dxa"/>
            <w:vMerge w:val="restart"/>
            <w:shd w:val="clear" w:color="auto" w:fill="auto"/>
            <w:vAlign w:val="center"/>
          </w:tcPr>
          <w:p w14:paraId="3ABF3C89">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ICR</w:t>
            </w:r>
          </w:p>
        </w:tc>
        <w:tc>
          <w:tcPr>
            <w:tcW w:w="850" w:type="dxa"/>
            <w:shd w:val="clear" w:color="auto" w:fill="auto"/>
            <w:vAlign w:val="center"/>
          </w:tcPr>
          <w:p w14:paraId="01A09E04">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2B1F7381">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经口</w:t>
            </w:r>
          </w:p>
        </w:tc>
        <w:tc>
          <w:tcPr>
            <w:tcW w:w="1134" w:type="dxa"/>
            <w:vMerge w:val="restart"/>
            <w:shd w:val="clear" w:color="auto" w:fill="auto"/>
            <w:vAlign w:val="center"/>
          </w:tcPr>
          <w:p w14:paraId="675D268B">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92.1</w:t>
            </w:r>
          </w:p>
        </w:tc>
        <w:tc>
          <w:tcPr>
            <w:tcW w:w="2102" w:type="dxa"/>
            <w:shd w:val="clear" w:color="auto" w:fill="auto"/>
            <w:vAlign w:val="center"/>
          </w:tcPr>
          <w:p w14:paraId="420A80AF">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436</w:t>
            </w:r>
          </w:p>
        </w:tc>
      </w:tr>
      <w:tr w14:paraId="2B8258AE">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3D9AD52B">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7EAC586B">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1B42077E">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194D8D58">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79F1D7EB">
            <w:pPr>
              <w:spacing w:line="360" w:lineRule="exact"/>
              <w:jc w:val="center"/>
              <w:rPr>
                <w:rFonts w:hint="default" w:ascii="Times New Roman" w:hAnsi="Times New Roman" w:cs="Times New Roman"/>
                <w:color w:val="auto"/>
                <w:szCs w:val="21"/>
              </w:rPr>
            </w:pPr>
          </w:p>
        </w:tc>
        <w:tc>
          <w:tcPr>
            <w:tcW w:w="2102" w:type="dxa"/>
            <w:shd w:val="clear" w:color="auto" w:fill="auto"/>
            <w:vAlign w:val="center"/>
          </w:tcPr>
          <w:p w14:paraId="5C256D15">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464</w:t>
            </w:r>
          </w:p>
        </w:tc>
      </w:tr>
      <w:tr w14:paraId="531BB855">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6830225E">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大鼠</w:t>
            </w:r>
          </w:p>
        </w:tc>
        <w:tc>
          <w:tcPr>
            <w:tcW w:w="2268" w:type="dxa"/>
            <w:vMerge w:val="restart"/>
            <w:shd w:val="clear" w:color="auto" w:fill="auto"/>
            <w:vAlign w:val="center"/>
          </w:tcPr>
          <w:p w14:paraId="282F1EA3">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Wistar</w:t>
            </w:r>
          </w:p>
        </w:tc>
        <w:tc>
          <w:tcPr>
            <w:tcW w:w="850" w:type="dxa"/>
            <w:shd w:val="clear" w:color="auto" w:fill="auto"/>
            <w:vAlign w:val="center"/>
          </w:tcPr>
          <w:p w14:paraId="3B16AEAA">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41DBAA98">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经口</w:t>
            </w:r>
          </w:p>
        </w:tc>
        <w:tc>
          <w:tcPr>
            <w:tcW w:w="1134" w:type="dxa"/>
            <w:vMerge w:val="restart"/>
            <w:shd w:val="clear" w:color="auto" w:fill="auto"/>
            <w:vAlign w:val="center"/>
          </w:tcPr>
          <w:p w14:paraId="33F9C005">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92.1</w:t>
            </w:r>
          </w:p>
        </w:tc>
        <w:tc>
          <w:tcPr>
            <w:tcW w:w="2102" w:type="dxa"/>
            <w:shd w:val="clear" w:color="auto" w:fill="auto"/>
            <w:vAlign w:val="center"/>
          </w:tcPr>
          <w:p w14:paraId="2329F5BA">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2000</w:t>
            </w:r>
          </w:p>
        </w:tc>
      </w:tr>
      <w:tr w14:paraId="69F57218">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2532D7E8">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531FCF89">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0AC65D18">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27D2DCE4">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4DFEFF9B">
            <w:pPr>
              <w:spacing w:line="360" w:lineRule="exact"/>
              <w:jc w:val="center"/>
              <w:rPr>
                <w:rFonts w:hint="default" w:ascii="Times New Roman" w:hAnsi="Times New Roman" w:cs="Times New Roman"/>
                <w:color w:val="auto"/>
                <w:szCs w:val="21"/>
              </w:rPr>
            </w:pPr>
          </w:p>
        </w:tc>
        <w:tc>
          <w:tcPr>
            <w:tcW w:w="2102" w:type="dxa"/>
            <w:shd w:val="clear" w:color="auto" w:fill="auto"/>
            <w:vAlign w:val="center"/>
          </w:tcPr>
          <w:p w14:paraId="581D2C81">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1620</w:t>
            </w:r>
          </w:p>
        </w:tc>
      </w:tr>
      <w:tr w14:paraId="737B17B3">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4AC6EE03">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大鼠</w:t>
            </w:r>
          </w:p>
        </w:tc>
        <w:tc>
          <w:tcPr>
            <w:tcW w:w="2268" w:type="dxa"/>
            <w:vMerge w:val="restart"/>
            <w:shd w:val="clear" w:color="auto" w:fill="auto"/>
            <w:vAlign w:val="center"/>
          </w:tcPr>
          <w:p w14:paraId="073F8ADA">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Fischer</w:t>
            </w:r>
          </w:p>
        </w:tc>
        <w:tc>
          <w:tcPr>
            <w:tcW w:w="850" w:type="dxa"/>
            <w:shd w:val="clear" w:color="auto" w:fill="auto"/>
            <w:vAlign w:val="center"/>
          </w:tcPr>
          <w:p w14:paraId="7EFCE234">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26C23680">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经口</w:t>
            </w:r>
          </w:p>
        </w:tc>
        <w:tc>
          <w:tcPr>
            <w:tcW w:w="1134" w:type="dxa"/>
            <w:vMerge w:val="restart"/>
            <w:shd w:val="clear" w:color="auto" w:fill="auto"/>
            <w:vAlign w:val="center"/>
          </w:tcPr>
          <w:p w14:paraId="4A0FE8F1">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92.1</w:t>
            </w:r>
          </w:p>
        </w:tc>
        <w:tc>
          <w:tcPr>
            <w:tcW w:w="2102" w:type="dxa"/>
            <w:shd w:val="clear" w:color="auto" w:fill="auto"/>
            <w:vAlign w:val="center"/>
          </w:tcPr>
          <w:p w14:paraId="2B4E922A">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1660</w:t>
            </w:r>
          </w:p>
        </w:tc>
      </w:tr>
      <w:tr w14:paraId="3683C44D">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22D35FBD">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269CEFE0">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32A86C7A">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23751943">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2EDB62E4">
            <w:pPr>
              <w:spacing w:line="360" w:lineRule="exact"/>
              <w:jc w:val="center"/>
              <w:rPr>
                <w:rFonts w:hint="default" w:ascii="Times New Roman" w:hAnsi="Times New Roman" w:cs="Times New Roman"/>
                <w:color w:val="auto"/>
                <w:szCs w:val="21"/>
              </w:rPr>
            </w:pPr>
          </w:p>
        </w:tc>
        <w:tc>
          <w:tcPr>
            <w:tcW w:w="2102" w:type="dxa"/>
            <w:shd w:val="clear" w:color="auto" w:fill="auto"/>
            <w:vAlign w:val="center"/>
          </w:tcPr>
          <w:p w14:paraId="51BFC4B2">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1510</w:t>
            </w:r>
          </w:p>
        </w:tc>
      </w:tr>
      <w:tr w14:paraId="387982A6">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53E07484">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大鼠</w:t>
            </w:r>
          </w:p>
        </w:tc>
        <w:tc>
          <w:tcPr>
            <w:tcW w:w="2268" w:type="dxa"/>
            <w:vMerge w:val="restart"/>
            <w:shd w:val="clear" w:color="auto" w:fill="auto"/>
            <w:vAlign w:val="center"/>
          </w:tcPr>
          <w:p w14:paraId="246229D3">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Wistar</w:t>
            </w:r>
          </w:p>
        </w:tc>
        <w:tc>
          <w:tcPr>
            <w:tcW w:w="850" w:type="dxa"/>
            <w:shd w:val="clear" w:color="auto" w:fill="auto"/>
            <w:vAlign w:val="center"/>
          </w:tcPr>
          <w:p w14:paraId="4F95EACB">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619F2564">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经口</w:t>
            </w:r>
          </w:p>
        </w:tc>
        <w:tc>
          <w:tcPr>
            <w:tcW w:w="1134" w:type="dxa"/>
            <w:vMerge w:val="restart"/>
            <w:shd w:val="clear" w:color="auto" w:fill="auto"/>
            <w:vAlign w:val="center"/>
          </w:tcPr>
          <w:p w14:paraId="18042052">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50</w:t>
            </w:r>
            <w:r>
              <w:rPr>
                <w:rFonts w:hint="default" w:ascii="Times New Roman" w:hAnsi="Times New Roman" w:cs="Times New Roman"/>
                <w:color w:val="auto"/>
                <w:kern w:val="0"/>
                <w:szCs w:val="21"/>
                <w:vertAlign w:val="superscript"/>
              </w:rPr>
              <w:t>e</w:t>
            </w:r>
          </w:p>
        </w:tc>
        <w:tc>
          <w:tcPr>
            <w:tcW w:w="2102" w:type="dxa"/>
            <w:vMerge w:val="restart"/>
            <w:shd w:val="clear" w:color="auto" w:fill="auto"/>
            <w:vAlign w:val="center"/>
          </w:tcPr>
          <w:p w14:paraId="421BF0DD">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&gt; 2000</w:t>
            </w:r>
          </w:p>
        </w:tc>
      </w:tr>
      <w:tr w14:paraId="58AD0E17">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4D7A4192">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1FB79F9C">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57BBD170">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4EF7D0ED">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0717EAB5">
            <w:pPr>
              <w:spacing w:line="360" w:lineRule="exact"/>
              <w:jc w:val="center"/>
              <w:rPr>
                <w:rFonts w:hint="default" w:ascii="Times New Roman" w:hAnsi="Times New Roman" w:cs="Times New Roman"/>
                <w:color w:val="auto"/>
                <w:szCs w:val="21"/>
              </w:rPr>
            </w:pPr>
          </w:p>
        </w:tc>
        <w:tc>
          <w:tcPr>
            <w:tcW w:w="2102" w:type="dxa"/>
            <w:vMerge w:val="continue"/>
            <w:shd w:val="clear" w:color="auto" w:fill="auto"/>
            <w:vAlign w:val="center"/>
          </w:tcPr>
          <w:p w14:paraId="0CC3A56B">
            <w:pPr>
              <w:spacing w:line="360" w:lineRule="exact"/>
              <w:jc w:val="center"/>
              <w:rPr>
                <w:rFonts w:hint="default" w:ascii="Times New Roman" w:hAnsi="Times New Roman" w:cs="Times New Roman"/>
                <w:color w:val="auto"/>
                <w:szCs w:val="21"/>
              </w:rPr>
            </w:pPr>
          </w:p>
        </w:tc>
      </w:tr>
      <w:tr w14:paraId="047AC39F">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1AB287A9">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狗</w:t>
            </w:r>
          </w:p>
        </w:tc>
        <w:tc>
          <w:tcPr>
            <w:tcW w:w="2268" w:type="dxa"/>
            <w:vMerge w:val="restart"/>
            <w:shd w:val="clear" w:color="auto" w:fill="auto"/>
            <w:vAlign w:val="center"/>
          </w:tcPr>
          <w:p w14:paraId="3706DCAB">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Beagle</w:t>
            </w:r>
          </w:p>
        </w:tc>
        <w:tc>
          <w:tcPr>
            <w:tcW w:w="850" w:type="dxa"/>
            <w:shd w:val="clear" w:color="auto" w:fill="auto"/>
            <w:vAlign w:val="center"/>
          </w:tcPr>
          <w:p w14:paraId="1632C78B">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66889F75">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经口</w:t>
            </w:r>
          </w:p>
        </w:tc>
        <w:tc>
          <w:tcPr>
            <w:tcW w:w="1134" w:type="dxa"/>
            <w:vMerge w:val="restart"/>
            <w:shd w:val="clear" w:color="auto" w:fill="auto"/>
            <w:vAlign w:val="center"/>
          </w:tcPr>
          <w:p w14:paraId="0DEC0DBA">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92.1</w:t>
            </w:r>
          </w:p>
        </w:tc>
        <w:tc>
          <w:tcPr>
            <w:tcW w:w="2102" w:type="dxa"/>
            <w:vMerge w:val="restart"/>
            <w:shd w:val="clear" w:color="auto" w:fill="auto"/>
            <w:vAlign w:val="center"/>
          </w:tcPr>
          <w:p w14:paraId="469169CF">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200-400</w:t>
            </w:r>
          </w:p>
        </w:tc>
      </w:tr>
      <w:tr w14:paraId="5B6073C5">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0BA53502">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3DA5D952">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1D20BC6C">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337C70BC">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00D65C18">
            <w:pPr>
              <w:spacing w:line="360" w:lineRule="exact"/>
              <w:jc w:val="center"/>
              <w:rPr>
                <w:rFonts w:hint="default" w:ascii="Times New Roman" w:hAnsi="Times New Roman" w:cs="Times New Roman"/>
                <w:color w:val="auto"/>
                <w:szCs w:val="21"/>
              </w:rPr>
            </w:pPr>
          </w:p>
        </w:tc>
        <w:tc>
          <w:tcPr>
            <w:tcW w:w="2102" w:type="dxa"/>
            <w:vMerge w:val="continue"/>
            <w:shd w:val="clear" w:color="auto" w:fill="auto"/>
            <w:vAlign w:val="center"/>
          </w:tcPr>
          <w:p w14:paraId="6DF59678">
            <w:pPr>
              <w:widowControl/>
              <w:spacing w:line="360" w:lineRule="exact"/>
              <w:jc w:val="center"/>
              <w:textAlignment w:val="center"/>
              <w:rPr>
                <w:rFonts w:hint="default" w:ascii="Times New Roman" w:hAnsi="Times New Roman" w:cs="Times New Roman"/>
                <w:color w:val="auto"/>
                <w:szCs w:val="21"/>
              </w:rPr>
            </w:pPr>
          </w:p>
        </w:tc>
      </w:tr>
      <w:tr w14:paraId="6E61524A">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4E4BC773">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大鼠</w:t>
            </w:r>
          </w:p>
        </w:tc>
        <w:tc>
          <w:tcPr>
            <w:tcW w:w="2268" w:type="dxa"/>
            <w:vMerge w:val="restart"/>
            <w:shd w:val="clear" w:color="auto" w:fill="auto"/>
            <w:vAlign w:val="center"/>
          </w:tcPr>
          <w:p w14:paraId="715530BA">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Wistar</w:t>
            </w:r>
          </w:p>
        </w:tc>
        <w:tc>
          <w:tcPr>
            <w:tcW w:w="850" w:type="dxa"/>
            <w:shd w:val="clear" w:color="auto" w:fill="auto"/>
            <w:vAlign w:val="center"/>
          </w:tcPr>
          <w:p w14:paraId="60A39556">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55ADA89B">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皮肤刺激</w:t>
            </w:r>
          </w:p>
        </w:tc>
        <w:tc>
          <w:tcPr>
            <w:tcW w:w="1134" w:type="dxa"/>
            <w:vMerge w:val="restart"/>
            <w:shd w:val="clear" w:color="auto" w:fill="auto"/>
            <w:vAlign w:val="center"/>
          </w:tcPr>
          <w:p w14:paraId="74D88211">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97.2</w:t>
            </w:r>
          </w:p>
        </w:tc>
        <w:tc>
          <w:tcPr>
            <w:tcW w:w="2102" w:type="dxa"/>
            <w:vMerge w:val="restart"/>
            <w:shd w:val="clear" w:color="auto" w:fill="auto"/>
            <w:vAlign w:val="center"/>
          </w:tcPr>
          <w:p w14:paraId="7948F02C">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&gt; 4000</w:t>
            </w:r>
          </w:p>
        </w:tc>
      </w:tr>
      <w:tr w14:paraId="02873CDA">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39446D12">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25B6C99B">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597B169D">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31F9104B">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4D0409BF">
            <w:pPr>
              <w:spacing w:line="360" w:lineRule="exact"/>
              <w:jc w:val="center"/>
              <w:rPr>
                <w:rFonts w:hint="default" w:ascii="Times New Roman" w:hAnsi="Times New Roman" w:cs="Times New Roman"/>
                <w:color w:val="auto"/>
                <w:szCs w:val="21"/>
              </w:rPr>
            </w:pPr>
          </w:p>
        </w:tc>
        <w:tc>
          <w:tcPr>
            <w:tcW w:w="2102" w:type="dxa"/>
            <w:vMerge w:val="continue"/>
            <w:shd w:val="clear" w:color="auto" w:fill="auto"/>
            <w:vAlign w:val="center"/>
          </w:tcPr>
          <w:p w14:paraId="6ECC552D">
            <w:pPr>
              <w:spacing w:line="360" w:lineRule="exact"/>
              <w:jc w:val="center"/>
              <w:rPr>
                <w:rFonts w:hint="default" w:ascii="Times New Roman" w:hAnsi="Times New Roman" w:cs="Times New Roman"/>
                <w:color w:val="auto"/>
                <w:szCs w:val="21"/>
              </w:rPr>
            </w:pPr>
          </w:p>
        </w:tc>
      </w:tr>
      <w:tr w14:paraId="4401C90B">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0606B0E9">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大鼠</w:t>
            </w:r>
          </w:p>
        </w:tc>
        <w:tc>
          <w:tcPr>
            <w:tcW w:w="2268" w:type="dxa"/>
            <w:vMerge w:val="restart"/>
            <w:shd w:val="clear" w:color="auto" w:fill="auto"/>
            <w:vAlign w:val="center"/>
          </w:tcPr>
          <w:p w14:paraId="5604D5A8">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Wistar</w:t>
            </w:r>
          </w:p>
        </w:tc>
        <w:tc>
          <w:tcPr>
            <w:tcW w:w="850" w:type="dxa"/>
            <w:shd w:val="clear" w:color="auto" w:fill="auto"/>
            <w:vAlign w:val="center"/>
          </w:tcPr>
          <w:p w14:paraId="77BFC53A">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0C6D0559">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皮肤刺激</w:t>
            </w:r>
          </w:p>
        </w:tc>
        <w:tc>
          <w:tcPr>
            <w:tcW w:w="1134" w:type="dxa"/>
            <w:vMerge w:val="restart"/>
            <w:shd w:val="clear" w:color="auto" w:fill="auto"/>
            <w:vAlign w:val="center"/>
          </w:tcPr>
          <w:p w14:paraId="16372164">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50</w:t>
            </w:r>
            <w:r>
              <w:rPr>
                <w:rFonts w:hint="default" w:ascii="Times New Roman" w:hAnsi="Times New Roman" w:cs="Times New Roman"/>
                <w:color w:val="auto"/>
                <w:kern w:val="0"/>
                <w:szCs w:val="21"/>
                <w:vertAlign w:val="superscript"/>
              </w:rPr>
              <w:t>e</w:t>
            </w:r>
          </w:p>
        </w:tc>
        <w:tc>
          <w:tcPr>
            <w:tcW w:w="2102" w:type="dxa"/>
            <w:vMerge w:val="restart"/>
            <w:shd w:val="clear" w:color="auto" w:fill="auto"/>
            <w:vAlign w:val="center"/>
          </w:tcPr>
          <w:p w14:paraId="617D6C66">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&gt; 2000</w:t>
            </w:r>
          </w:p>
        </w:tc>
      </w:tr>
      <w:tr w14:paraId="4CF68ABD">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6842DC96">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5D449051">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3CE94E31">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3A0574D5">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59432229">
            <w:pPr>
              <w:spacing w:line="360" w:lineRule="exact"/>
              <w:jc w:val="center"/>
              <w:rPr>
                <w:rFonts w:hint="default" w:ascii="Times New Roman" w:hAnsi="Times New Roman" w:cs="Times New Roman"/>
                <w:color w:val="auto"/>
                <w:szCs w:val="21"/>
              </w:rPr>
            </w:pPr>
          </w:p>
        </w:tc>
        <w:tc>
          <w:tcPr>
            <w:tcW w:w="2102" w:type="dxa"/>
            <w:vMerge w:val="continue"/>
            <w:shd w:val="clear" w:color="auto" w:fill="auto"/>
            <w:vAlign w:val="center"/>
          </w:tcPr>
          <w:p w14:paraId="32A14981">
            <w:pPr>
              <w:spacing w:line="360" w:lineRule="exact"/>
              <w:jc w:val="center"/>
              <w:rPr>
                <w:rFonts w:hint="default" w:ascii="Times New Roman" w:hAnsi="Times New Roman" w:cs="Times New Roman"/>
                <w:color w:val="auto"/>
                <w:szCs w:val="21"/>
              </w:rPr>
            </w:pPr>
          </w:p>
        </w:tc>
      </w:tr>
      <w:tr w14:paraId="23C22013">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02D68448">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兔</w:t>
            </w:r>
          </w:p>
        </w:tc>
        <w:tc>
          <w:tcPr>
            <w:tcW w:w="2268" w:type="dxa"/>
            <w:vMerge w:val="restart"/>
            <w:shd w:val="clear" w:color="auto" w:fill="auto"/>
            <w:vAlign w:val="center"/>
          </w:tcPr>
          <w:p w14:paraId="602D5A43">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新西兰白兔</w:t>
            </w:r>
          </w:p>
        </w:tc>
        <w:tc>
          <w:tcPr>
            <w:tcW w:w="850" w:type="dxa"/>
            <w:shd w:val="clear" w:color="auto" w:fill="auto"/>
            <w:vAlign w:val="center"/>
          </w:tcPr>
          <w:p w14:paraId="491D211F">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470B3E54">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皮肤刺激</w:t>
            </w:r>
          </w:p>
        </w:tc>
        <w:tc>
          <w:tcPr>
            <w:tcW w:w="1134" w:type="dxa"/>
            <w:vMerge w:val="restart"/>
            <w:shd w:val="clear" w:color="auto" w:fill="auto"/>
            <w:vAlign w:val="center"/>
          </w:tcPr>
          <w:p w14:paraId="02E126E7">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96.9</w:t>
            </w:r>
          </w:p>
        </w:tc>
        <w:tc>
          <w:tcPr>
            <w:tcW w:w="2102" w:type="dxa"/>
            <w:shd w:val="clear" w:color="auto" w:fill="auto"/>
            <w:vAlign w:val="center"/>
          </w:tcPr>
          <w:p w14:paraId="1CA6DE75">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&gt; 2000</w:t>
            </w:r>
          </w:p>
        </w:tc>
      </w:tr>
      <w:tr w14:paraId="59BD181D">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6D6E638F">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0D54389C">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2D76AE1F">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5CC6E39D">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7ECAE7E2">
            <w:pPr>
              <w:spacing w:line="360" w:lineRule="exact"/>
              <w:jc w:val="center"/>
              <w:rPr>
                <w:rFonts w:hint="default" w:ascii="Times New Roman" w:hAnsi="Times New Roman" w:cs="Times New Roman"/>
                <w:color w:val="auto"/>
                <w:szCs w:val="21"/>
              </w:rPr>
            </w:pPr>
          </w:p>
        </w:tc>
        <w:tc>
          <w:tcPr>
            <w:tcW w:w="2102" w:type="dxa"/>
            <w:shd w:val="clear" w:color="auto" w:fill="auto"/>
            <w:vAlign w:val="center"/>
          </w:tcPr>
          <w:p w14:paraId="1A2654AD">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1500-2000</w:t>
            </w:r>
          </w:p>
        </w:tc>
      </w:tr>
      <w:tr w14:paraId="3EBC290B">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3DCF0D94">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大鼠</w:t>
            </w:r>
          </w:p>
        </w:tc>
        <w:tc>
          <w:tcPr>
            <w:tcW w:w="2268" w:type="dxa"/>
            <w:vMerge w:val="restart"/>
            <w:shd w:val="clear" w:color="auto" w:fill="auto"/>
            <w:vAlign w:val="center"/>
          </w:tcPr>
          <w:p w14:paraId="3C50E7E4">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Wistar</w:t>
            </w:r>
          </w:p>
        </w:tc>
        <w:tc>
          <w:tcPr>
            <w:tcW w:w="850" w:type="dxa"/>
            <w:shd w:val="clear" w:color="auto" w:fill="auto"/>
            <w:vAlign w:val="center"/>
          </w:tcPr>
          <w:p w14:paraId="157AC511">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739594D9">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吸入</w:t>
            </w:r>
          </w:p>
        </w:tc>
        <w:tc>
          <w:tcPr>
            <w:tcW w:w="1134" w:type="dxa"/>
            <w:vMerge w:val="restart"/>
            <w:shd w:val="clear" w:color="auto" w:fill="auto"/>
            <w:vAlign w:val="center"/>
          </w:tcPr>
          <w:p w14:paraId="5728CA4F">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95.3</w:t>
            </w:r>
          </w:p>
        </w:tc>
        <w:tc>
          <w:tcPr>
            <w:tcW w:w="2102" w:type="dxa"/>
            <w:shd w:val="clear" w:color="auto" w:fill="auto"/>
            <w:vAlign w:val="center"/>
          </w:tcPr>
          <w:p w14:paraId="3E7E3451">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1.26</w:t>
            </w: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mg/L</w:t>
            </w:r>
          </w:p>
        </w:tc>
      </w:tr>
      <w:tr w14:paraId="1F05CC48">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5837A8EE">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3C7351C6">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4E0425FD">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76C0D006">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01674CFE">
            <w:pPr>
              <w:spacing w:line="360" w:lineRule="exact"/>
              <w:jc w:val="center"/>
              <w:rPr>
                <w:rFonts w:hint="default" w:ascii="Times New Roman" w:hAnsi="Times New Roman" w:cs="Times New Roman"/>
                <w:color w:val="auto"/>
                <w:szCs w:val="21"/>
              </w:rPr>
            </w:pPr>
          </w:p>
        </w:tc>
        <w:tc>
          <w:tcPr>
            <w:tcW w:w="2102" w:type="dxa"/>
            <w:shd w:val="clear" w:color="auto" w:fill="auto"/>
            <w:vAlign w:val="center"/>
          </w:tcPr>
          <w:p w14:paraId="64996B71">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2.60</w:t>
            </w: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mg/L</w:t>
            </w:r>
          </w:p>
        </w:tc>
      </w:tr>
      <w:tr w14:paraId="70DDBEBF">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0AA7B02D">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大鼠</w:t>
            </w:r>
          </w:p>
        </w:tc>
        <w:tc>
          <w:tcPr>
            <w:tcW w:w="2268" w:type="dxa"/>
            <w:vMerge w:val="restart"/>
            <w:shd w:val="clear" w:color="auto" w:fill="auto"/>
            <w:vAlign w:val="center"/>
          </w:tcPr>
          <w:p w14:paraId="00B831C8">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Wistar</w:t>
            </w:r>
          </w:p>
        </w:tc>
        <w:tc>
          <w:tcPr>
            <w:tcW w:w="850" w:type="dxa"/>
            <w:shd w:val="clear" w:color="auto" w:fill="auto"/>
            <w:vAlign w:val="center"/>
          </w:tcPr>
          <w:p w14:paraId="094B985E">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3EC2543D">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吸入</w:t>
            </w:r>
          </w:p>
        </w:tc>
        <w:tc>
          <w:tcPr>
            <w:tcW w:w="1134" w:type="dxa"/>
            <w:vMerge w:val="restart"/>
            <w:shd w:val="clear" w:color="auto" w:fill="auto"/>
            <w:vAlign w:val="center"/>
          </w:tcPr>
          <w:p w14:paraId="36E61F9F">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szCs w:val="21"/>
              </w:rPr>
              <w:t>50</w:t>
            </w:r>
            <w:r>
              <w:rPr>
                <w:rFonts w:hint="default" w:ascii="Times New Roman" w:hAnsi="Times New Roman" w:cs="Times New Roman"/>
                <w:color w:val="auto"/>
                <w:szCs w:val="21"/>
                <w:vertAlign w:val="superscript"/>
              </w:rPr>
              <w:t>e</w:t>
            </w:r>
          </w:p>
        </w:tc>
        <w:tc>
          <w:tcPr>
            <w:tcW w:w="2102" w:type="dxa"/>
            <w:vMerge w:val="restart"/>
            <w:shd w:val="clear" w:color="auto" w:fill="auto"/>
            <w:vAlign w:val="center"/>
          </w:tcPr>
          <w:p w14:paraId="76D01E27">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&gt; 5.0 mg/L</w:t>
            </w:r>
          </w:p>
        </w:tc>
      </w:tr>
      <w:tr w14:paraId="703B317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335D0B9C">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061ABF60">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230E2EE5">
            <w:pPr>
              <w:widowControl/>
              <w:spacing w:line="360" w:lineRule="exact"/>
              <w:jc w:val="center"/>
              <w:textAlignment w:val="center"/>
              <w:rPr>
                <w:rFonts w:hint="default" w:ascii="Times New Roman" w:hAnsi="Times New Roman" w:cs="Times New Roman"/>
                <w:color w:val="auto"/>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7803FAE9">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74298B39">
            <w:pPr>
              <w:spacing w:line="360" w:lineRule="exact"/>
              <w:jc w:val="center"/>
              <w:rPr>
                <w:rFonts w:hint="default" w:ascii="Times New Roman" w:hAnsi="Times New Roman" w:cs="Times New Roman"/>
                <w:color w:val="auto"/>
                <w:szCs w:val="21"/>
              </w:rPr>
            </w:pPr>
          </w:p>
        </w:tc>
        <w:tc>
          <w:tcPr>
            <w:tcW w:w="2102" w:type="dxa"/>
            <w:vMerge w:val="continue"/>
            <w:shd w:val="clear" w:color="auto" w:fill="auto"/>
            <w:vAlign w:val="center"/>
          </w:tcPr>
          <w:p w14:paraId="4F7D6F0C">
            <w:pPr>
              <w:spacing w:line="360" w:lineRule="exact"/>
              <w:jc w:val="center"/>
              <w:rPr>
                <w:rFonts w:hint="default" w:ascii="Times New Roman" w:hAnsi="Times New Roman" w:cs="Times New Roman"/>
                <w:color w:val="auto"/>
                <w:szCs w:val="21"/>
              </w:rPr>
            </w:pPr>
          </w:p>
        </w:tc>
      </w:tr>
      <w:tr w14:paraId="4DD98E58">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31C150BE">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小鼠</w:t>
            </w:r>
          </w:p>
        </w:tc>
        <w:tc>
          <w:tcPr>
            <w:tcW w:w="2268" w:type="dxa"/>
            <w:vMerge w:val="restart"/>
            <w:shd w:val="clear" w:color="auto" w:fill="auto"/>
            <w:vAlign w:val="center"/>
          </w:tcPr>
          <w:p w14:paraId="5F65FBD6">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850" w:type="dxa"/>
            <w:shd w:val="clear" w:color="auto" w:fill="auto"/>
            <w:vAlign w:val="center"/>
          </w:tcPr>
          <w:p w14:paraId="15E5D50A">
            <w:pPr>
              <w:widowControl/>
              <w:spacing w:line="360" w:lineRule="exact"/>
              <w:jc w:val="center"/>
              <w:textAlignment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35AE47B3">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腹腔注射</w:t>
            </w:r>
          </w:p>
        </w:tc>
        <w:tc>
          <w:tcPr>
            <w:tcW w:w="1134" w:type="dxa"/>
            <w:vMerge w:val="restart"/>
            <w:shd w:val="clear" w:color="auto" w:fill="auto"/>
            <w:vAlign w:val="center"/>
          </w:tcPr>
          <w:p w14:paraId="57AF482C">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102" w:type="dxa"/>
            <w:shd w:val="clear" w:color="auto" w:fill="auto"/>
            <w:vAlign w:val="center"/>
          </w:tcPr>
          <w:p w14:paraId="09503F7D">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103</w:t>
            </w:r>
          </w:p>
        </w:tc>
      </w:tr>
      <w:tr w14:paraId="33B2EA49">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0DCF9B28">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2EE62008">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1FD62215">
            <w:pPr>
              <w:widowControl/>
              <w:spacing w:line="360" w:lineRule="exact"/>
              <w:jc w:val="center"/>
              <w:textAlignment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238DBBF1">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578DE779">
            <w:pPr>
              <w:spacing w:line="360" w:lineRule="exact"/>
              <w:jc w:val="center"/>
              <w:rPr>
                <w:rFonts w:hint="default" w:ascii="Times New Roman" w:hAnsi="Times New Roman" w:cs="Times New Roman"/>
                <w:color w:val="auto"/>
                <w:szCs w:val="21"/>
              </w:rPr>
            </w:pPr>
          </w:p>
        </w:tc>
        <w:tc>
          <w:tcPr>
            <w:tcW w:w="2102" w:type="dxa"/>
            <w:shd w:val="clear" w:color="auto" w:fill="auto"/>
            <w:vAlign w:val="center"/>
          </w:tcPr>
          <w:p w14:paraId="1AADEC8C">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82</w:t>
            </w:r>
          </w:p>
        </w:tc>
      </w:tr>
      <w:tr w14:paraId="6B811094">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47352535">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大鼠</w:t>
            </w:r>
          </w:p>
        </w:tc>
        <w:tc>
          <w:tcPr>
            <w:tcW w:w="2268" w:type="dxa"/>
            <w:vMerge w:val="restart"/>
            <w:shd w:val="clear" w:color="auto" w:fill="auto"/>
            <w:vAlign w:val="center"/>
          </w:tcPr>
          <w:p w14:paraId="381F018F">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850" w:type="dxa"/>
            <w:shd w:val="clear" w:color="auto" w:fill="auto"/>
            <w:vAlign w:val="center"/>
          </w:tcPr>
          <w:p w14:paraId="37DC0BD5">
            <w:pPr>
              <w:widowControl/>
              <w:spacing w:line="360" w:lineRule="exact"/>
              <w:jc w:val="center"/>
              <w:textAlignment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0579B9F2">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腹腔注射</w:t>
            </w:r>
          </w:p>
        </w:tc>
        <w:tc>
          <w:tcPr>
            <w:tcW w:w="1134" w:type="dxa"/>
            <w:vMerge w:val="restart"/>
            <w:shd w:val="clear" w:color="auto" w:fill="auto"/>
            <w:vAlign w:val="center"/>
          </w:tcPr>
          <w:p w14:paraId="2C19A683">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102" w:type="dxa"/>
            <w:shd w:val="clear" w:color="auto" w:fill="auto"/>
            <w:vAlign w:val="center"/>
          </w:tcPr>
          <w:p w14:paraId="1C53C36A">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96、204</w:t>
            </w:r>
          </w:p>
        </w:tc>
      </w:tr>
      <w:tr w14:paraId="5F1E4716">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6929AD71">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6E530A10">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16263317">
            <w:pPr>
              <w:widowControl/>
              <w:spacing w:line="360" w:lineRule="exact"/>
              <w:jc w:val="center"/>
              <w:textAlignment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6B51E755">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3A89D861">
            <w:pPr>
              <w:spacing w:line="360" w:lineRule="exact"/>
              <w:jc w:val="center"/>
              <w:rPr>
                <w:rFonts w:hint="default" w:ascii="Times New Roman" w:hAnsi="Times New Roman" w:cs="Times New Roman"/>
                <w:color w:val="auto"/>
                <w:szCs w:val="21"/>
              </w:rPr>
            </w:pPr>
          </w:p>
        </w:tc>
        <w:tc>
          <w:tcPr>
            <w:tcW w:w="2102" w:type="dxa"/>
            <w:shd w:val="clear" w:color="auto" w:fill="auto"/>
            <w:vAlign w:val="center"/>
          </w:tcPr>
          <w:p w14:paraId="12FB5F9F">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93.2、83</w:t>
            </w:r>
          </w:p>
        </w:tc>
      </w:tr>
      <w:tr w14:paraId="7F3107BE">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6B4966BD">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大鼠</w:t>
            </w:r>
          </w:p>
        </w:tc>
        <w:tc>
          <w:tcPr>
            <w:tcW w:w="2268" w:type="dxa"/>
            <w:vMerge w:val="restart"/>
            <w:shd w:val="clear" w:color="auto" w:fill="auto"/>
            <w:vAlign w:val="center"/>
          </w:tcPr>
          <w:p w14:paraId="1270F334">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850" w:type="dxa"/>
            <w:shd w:val="clear" w:color="auto" w:fill="auto"/>
            <w:vAlign w:val="center"/>
          </w:tcPr>
          <w:p w14:paraId="6B01211E">
            <w:pPr>
              <w:widowControl/>
              <w:spacing w:line="360" w:lineRule="exact"/>
              <w:jc w:val="center"/>
              <w:textAlignment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6AA1C80E">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皮下注射</w:t>
            </w:r>
          </w:p>
        </w:tc>
        <w:tc>
          <w:tcPr>
            <w:tcW w:w="1134" w:type="dxa"/>
            <w:vMerge w:val="restart"/>
            <w:shd w:val="clear" w:color="auto" w:fill="auto"/>
            <w:vAlign w:val="center"/>
          </w:tcPr>
          <w:p w14:paraId="1FE9237D">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102" w:type="dxa"/>
            <w:shd w:val="clear" w:color="auto" w:fill="auto"/>
            <w:vAlign w:val="center"/>
          </w:tcPr>
          <w:p w14:paraId="0F24933F">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73</w:t>
            </w:r>
          </w:p>
        </w:tc>
      </w:tr>
      <w:tr w14:paraId="275286D7">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105A46AA">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4DB7B484">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5A15BCEB">
            <w:pPr>
              <w:widowControl/>
              <w:spacing w:line="360" w:lineRule="exact"/>
              <w:jc w:val="center"/>
              <w:textAlignment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2B2CAB2C">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14094208">
            <w:pPr>
              <w:spacing w:line="360" w:lineRule="exact"/>
              <w:jc w:val="center"/>
              <w:rPr>
                <w:rFonts w:hint="default" w:ascii="Times New Roman" w:hAnsi="Times New Roman" w:cs="Times New Roman"/>
                <w:color w:val="auto"/>
                <w:szCs w:val="21"/>
              </w:rPr>
            </w:pPr>
          </w:p>
        </w:tc>
        <w:tc>
          <w:tcPr>
            <w:tcW w:w="2102" w:type="dxa"/>
            <w:shd w:val="clear" w:color="auto" w:fill="auto"/>
            <w:vAlign w:val="center"/>
          </w:tcPr>
          <w:p w14:paraId="1994A1F1">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61</w:t>
            </w:r>
          </w:p>
        </w:tc>
      </w:tr>
      <w:tr w14:paraId="713695B1">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restart"/>
            <w:shd w:val="clear" w:color="auto" w:fill="auto"/>
            <w:vAlign w:val="center"/>
          </w:tcPr>
          <w:p w14:paraId="19C4FA3F">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小鼠</w:t>
            </w:r>
          </w:p>
        </w:tc>
        <w:tc>
          <w:tcPr>
            <w:tcW w:w="2268" w:type="dxa"/>
            <w:vMerge w:val="restart"/>
            <w:shd w:val="clear" w:color="auto" w:fill="auto"/>
            <w:vAlign w:val="center"/>
          </w:tcPr>
          <w:p w14:paraId="4F003C9F">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850" w:type="dxa"/>
            <w:shd w:val="clear" w:color="auto" w:fill="auto"/>
            <w:vAlign w:val="center"/>
          </w:tcPr>
          <w:p w14:paraId="3B2E555C">
            <w:pPr>
              <w:widowControl/>
              <w:spacing w:line="360" w:lineRule="exact"/>
              <w:jc w:val="center"/>
              <w:textAlignment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雄性</w:t>
            </w:r>
          </w:p>
        </w:tc>
        <w:tc>
          <w:tcPr>
            <w:tcW w:w="1134" w:type="dxa"/>
            <w:vMerge w:val="restart"/>
            <w:shd w:val="clear" w:color="auto" w:fill="auto"/>
            <w:vAlign w:val="center"/>
          </w:tcPr>
          <w:p w14:paraId="7E02BD16">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皮下注射</w:t>
            </w:r>
          </w:p>
        </w:tc>
        <w:tc>
          <w:tcPr>
            <w:tcW w:w="1134" w:type="dxa"/>
            <w:vMerge w:val="restart"/>
            <w:shd w:val="clear" w:color="auto" w:fill="auto"/>
            <w:vAlign w:val="center"/>
          </w:tcPr>
          <w:p w14:paraId="21489045">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w:t>
            </w:r>
          </w:p>
        </w:tc>
        <w:tc>
          <w:tcPr>
            <w:tcW w:w="2102" w:type="dxa"/>
            <w:shd w:val="clear" w:color="auto" w:fill="auto"/>
            <w:vAlign w:val="center"/>
          </w:tcPr>
          <w:p w14:paraId="3EBD291D">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88</w:t>
            </w:r>
          </w:p>
        </w:tc>
      </w:tr>
      <w:tr w14:paraId="6EDA2168">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3" w:hRule="atLeast"/>
          <w:jc w:val="center"/>
        </w:trPr>
        <w:tc>
          <w:tcPr>
            <w:tcW w:w="1537" w:type="dxa"/>
            <w:vMerge w:val="continue"/>
            <w:shd w:val="clear" w:color="auto" w:fill="auto"/>
            <w:vAlign w:val="center"/>
          </w:tcPr>
          <w:p w14:paraId="4EE4D13B">
            <w:pPr>
              <w:spacing w:line="360" w:lineRule="exact"/>
              <w:jc w:val="center"/>
              <w:rPr>
                <w:rFonts w:hint="default" w:ascii="Times New Roman" w:hAnsi="Times New Roman" w:cs="Times New Roman"/>
                <w:color w:val="auto"/>
                <w:szCs w:val="21"/>
              </w:rPr>
            </w:pPr>
          </w:p>
        </w:tc>
        <w:tc>
          <w:tcPr>
            <w:tcW w:w="2268" w:type="dxa"/>
            <w:vMerge w:val="continue"/>
            <w:shd w:val="clear" w:color="auto" w:fill="auto"/>
            <w:vAlign w:val="center"/>
          </w:tcPr>
          <w:p w14:paraId="362C9608">
            <w:pPr>
              <w:spacing w:line="360" w:lineRule="exact"/>
              <w:jc w:val="center"/>
              <w:rPr>
                <w:rFonts w:hint="default" w:ascii="Times New Roman" w:hAnsi="Times New Roman" w:cs="Times New Roman"/>
                <w:color w:val="auto"/>
                <w:szCs w:val="21"/>
              </w:rPr>
            </w:pPr>
          </w:p>
        </w:tc>
        <w:tc>
          <w:tcPr>
            <w:tcW w:w="850" w:type="dxa"/>
            <w:shd w:val="clear" w:color="auto" w:fill="auto"/>
            <w:vAlign w:val="center"/>
          </w:tcPr>
          <w:p w14:paraId="4E688AC5">
            <w:pPr>
              <w:widowControl/>
              <w:spacing w:line="360" w:lineRule="exact"/>
              <w:jc w:val="center"/>
              <w:textAlignment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雌性</w:t>
            </w:r>
          </w:p>
        </w:tc>
        <w:tc>
          <w:tcPr>
            <w:tcW w:w="1134" w:type="dxa"/>
            <w:vMerge w:val="continue"/>
            <w:shd w:val="clear" w:color="auto" w:fill="auto"/>
            <w:vAlign w:val="center"/>
          </w:tcPr>
          <w:p w14:paraId="44F47955">
            <w:pPr>
              <w:spacing w:line="360" w:lineRule="exact"/>
              <w:jc w:val="center"/>
              <w:rPr>
                <w:rFonts w:hint="default" w:ascii="Times New Roman" w:hAnsi="Times New Roman" w:cs="Times New Roman"/>
                <w:color w:val="auto"/>
                <w:szCs w:val="21"/>
              </w:rPr>
            </w:pPr>
          </w:p>
        </w:tc>
        <w:tc>
          <w:tcPr>
            <w:tcW w:w="1134" w:type="dxa"/>
            <w:vMerge w:val="continue"/>
            <w:shd w:val="clear" w:color="auto" w:fill="auto"/>
            <w:vAlign w:val="center"/>
          </w:tcPr>
          <w:p w14:paraId="7FBBBB8C">
            <w:pPr>
              <w:spacing w:line="360" w:lineRule="exact"/>
              <w:jc w:val="center"/>
              <w:rPr>
                <w:rFonts w:hint="default" w:ascii="Times New Roman" w:hAnsi="Times New Roman" w:cs="Times New Roman"/>
                <w:color w:val="auto"/>
                <w:szCs w:val="21"/>
              </w:rPr>
            </w:pPr>
          </w:p>
        </w:tc>
        <w:tc>
          <w:tcPr>
            <w:tcW w:w="2102" w:type="dxa"/>
            <w:shd w:val="clear" w:color="auto" w:fill="auto"/>
            <w:vAlign w:val="center"/>
          </w:tcPr>
          <w:p w14:paraId="6B744481">
            <w:pPr>
              <w:spacing w:line="360" w:lineRule="exact"/>
              <w:jc w:val="center"/>
              <w:rPr>
                <w:rFonts w:hint="default" w:ascii="Times New Roman" w:hAnsi="Times New Roman" w:cs="Times New Roman"/>
                <w:color w:val="auto"/>
                <w:szCs w:val="21"/>
              </w:rPr>
            </w:pPr>
            <w:r>
              <w:rPr>
                <w:rFonts w:hint="default" w:ascii="Times New Roman" w:hAnsi="Times New Roman" w:cs="Times New Roman"/>
                <w:color w:val="auto"/>
                <w:szCs w:val="21"/>
              </w:rPr>
              <w:t>104</w:t>
            </w:r>
          </w:p>
        </w:tc>
      </w:tr>
    </w:tbl>
    <w:p w14:paraId="1EB4E0E1">
      <w:pPr>
        <w:spacing w:line="460" w:lineRule="exact"/>
        <w:ind w:firstLine="560" w:firstLineChars="200"/>
        <w:rPr>
          <w:rFonts w:hint="default" w:ascii="Times New Roman" w:hAnsi="Times New Roman" w:eastAsia="仿宋" w:cs="Times New Roman"/>
          <w:color w:val="auto"/>
          <w:sz w:val="28"/>
          <w:szCs w:val="28"/>
        </w:rPr>
      </w:pPr>
      <w:r>
        <w:rPr>
          <w:rFonts w:hint="default" w:ascii="Times New Roman" w:hAnsi="Times New Roman" w:eastAsia="仿宋" w:cs="Times New Roman"/>
          <w:color w:val="auto"/>
          <w:sz w:val="28"/>
          <w:szCs w:val="28"/>
        </w:rPr>
        <w:t>人误服草铵膦后，早期以胃肠道症状为主，如恶心、呕吐，严重者可出现消化道出血。其次是呼吸系统损害，主要以肺水肿为主要表现，出现咳嗽、胸闷和呼吸困难，严重者可因呼吸衰竭致死。心血管损害、神经系统损害较轻，可出现除心动过速或过缓、头昏、乏力等症状。谷氨酰胺是中枢神经系统兴奋性（L-谷氨酸）和抑制性（γ-氨基丁酸）神经递质的主要前体，可调节NF-κB介导炎症途径的表达，发挥细胞保护和抗氧化特性。草铵膦中毒机制可能为通过有效抑制生物体谷氨酰胺的生成，影响患者脑脊液中L-谷氨酸、γ-氨基丁酸的原有水平，导致意识改变，并且引起细胞缺氧损伤。</w:t>
      </w:r>
    </w:p>
    <w:p w14:paraId="2A8BDFC8">
      <w:pPr>
        <w:numPr>
          <w:ilvl w:val="0"/>
          <w:numId w:val="3"/>
        </w:numPr>
        <w:spacing w:line="460" w:lineRule="exact"/>
        <w:ind w:firstLine="560" w:firstLineChars="200"/>
        <w:rPr>
          <w:rFonts w:hint="default" w:eastAsia="仿宋"/>
          <w:color w:val="auto"/>
          <w:sz w:val="28"/>
          <w:szCs w:val="28"/>
        </w:rPr>
      </w:pPr>
      <w:r>
        <w:rPr>
          <w:rFonts w:hint="default" w:eastAsia="仿宋"/>
          <w:color w:val="auto"/>
          <w:sz w:val="28"/>
          <w:szCs w:val="28"/>
        </w:rPr>
        <w:t>慢性毒性</w:t>
      </w:r>
    </w:p>
    <w:p w14:paraId="05B16AD8">
      <w:pPr>
        <w:numPr>
          <w:ilvl w:val="0"/>
          <w:numId w:val="0"/>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 xml:space="preserve">NMRI小鼠喂饲染毒草铵膦13周，雄性和雌性动物的实际染毒剂量分别为每天0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、17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67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、278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和0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、19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、87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、288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。雄性在高剂量组出现的天冬氨酸转氨酶（AST）活性略高、白细胞、红细胞数目下降、血钾增高以及肝脏质量增加，雌性碱性磷酸酶（ALP）活性略高以及中性粒细胞减少。得出NOAEL分别为每天278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w:t>
      </w:r>
    </w:p>
    <w:p w14:paraId="3922473B">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 xml:space="preserve">Wistar大鼠饲喂纯度95.3%的草铵膦4周，雄性和雌性喂饲浓度分别为0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、5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、53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、276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、534 mg/kg和0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、6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、58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、271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、557 mg/kg，未得出NOAEL，因为未观察到死亡或全身毒性的临床体征以及对体重增加、饲料消耗、血液学、临床化学、尿液分析或病理学的毒理学相关指标。</w:t>
      </w:r>
    </w:p>
    <w:p w14:paraId="4EF3EB6B">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 xml:space="preserve">Fischer大鼠饲喂纯度92.1%的草铵膦90天，雄性和雌性喂饲浓度分别为0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、0.52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、4.1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、32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、263 mg/kg和0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、0.63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、4.8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、39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、311 mg/kg，得出NOAEL为263</w:t>
      </w:r>
      <w:r>
        <w:rPr>
          <w:rFonts w:hint="eastAsia" w:eastAsia="仿宋"/>
          <w:color w:val="auto"/>
          <w:sz w:val="28"/>
          <w:szCs w:val="28"/>
          <w:lang w:val="en-US" w:eastAsia="zh-CN"/>
        </w:rPr>
        <w:t xml:space="preserve">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，依据是肾脏重量增加有统计学意义。</w:t>
      </w:r>
    </w:p>
    <w:p w14:paraId="6D10377F">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 xml:space="preserve">Wistar大鼠喂饲染毒95.5%的草铵膦，连续染毒13周，雄性和雌性动物的实际染毒剂量分别为每天0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、521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、686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、1351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和0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、574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、741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、1443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在低剂量大鼠中，警觉性差，特别是在处理的早期阶段。此外，中剂量组身体张力增加，疼痛反应和恐惧感增加，偶尔出现惊厥抽搐和唾液分泌等症状。在高剂量组中，异常行为更严重和持久，并且出现腹泻、发声增加、冷漠、镇静、驼背、呼吸困难、皮毛皱褶及消瘦等症状。在一些雌性中还出现痉挛和流泪等现象。得出LOAEL为每天521</w:t>
      </w:r>
      <w:r>
        <w:rPr>
          <w:rFonts w:hint="default" w:ascii="Times New Roman" w:hAnsi="Times New Roman" w:eastAsia="仿宋" w:cs="Times New Roman"/>
          <w:color w:val="auto"/>
          <w:sz w:val="28"/>
          <w:szCs w:val="28"/>
          <w:lang w:eastAsia="zh-CN"/>
        </w:rPr>
        <w:t xml:space="preserve"> mg/kg·bw</w:t>
      </w:r>
      <w:r>
        <w:rPr>
          <w:rFonts w:hint="eastAsia" w:eastAsia="仿宋"/>
          <w:color w:val="auto"/>
          <w:sz w:val="28"/>
          <w:szCs w:val="28"/>
          <w:lang w:eastAsia="zh-CN"/>
        </w:rPr>
        <w:t>。</w:t>
      </w:r>
    </w:p>
    <w:p w14:paraId="0C05871B">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 xml:space="preserve">比格犬喂饲纯度95.3%的草铵膦28天，染毒剂量为每天0、1或8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。高剂量组的自发性运动略有增加，喂饲第1周高剂量雄性的体重增加和摄食量减少，相应雌性的体重增加和摄食量减少。在高剂量雄性组中观察到中脑、小脑和脊髓中谷氨酰胺合成酶活性的抑制，小脑中</w:t>
      </w:r>
      <w:r>
        <w:rPr>
          <w:rFonts w:hint="default" w:ascii="Times New Roman" w:hAnsi="Times New Roman" w:eastAsia="仿宋" w:cs="Times New Roman"/>
          <w:color w:val="auto"/>
          <w:sz w:val="28"/>
          <w:szCs w:val="28"/>
          <w:lang w:eastAsia="zh-CN"/>
        </w:rPr>
        <w:t>α-</w:t>
      </w:r>
      <w:r>
        <w:rPr>
          <w:rFonts w:hint="eastAsia" w:eastAsia="仿宋"/>
          <w:color w:val="auto"/>
          <w:sz w:val="28"/>
          <w:szCs w:val="28"/>
          <w:lang w:eastAsia="zh-CN"/>
        </w:rPr>
        <w:t xml:space="preserve">酮戊二酸水平升高，牛磺酸和磷酸乙醇胺的水平在最高剂量时均显著降低，得出NOAEL为每天1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w:t>
      </w:r>
    </w:p>
    <w:p w14:paraId="7A19D917">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 xml:space="preserve">比格犬喂饲染毒纯度92.1%的草铵膦30天，染毒剂量分别为每天0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、0.13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、0.26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、0.53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、2.0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、7.8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。高剂量（7.8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）雌性的饲料消耗量降低，雌性体重减少。第7周血浆中无机磷酸盐水平的轻微下降，在第13周，所有剂量组的雄性血浆胆红素水平均相对降低，得出NOAEL值为2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w:t>
      </w:r>
    </w:p>
    <w:p w14:paraId="3373E082">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 xml:space="preserve">比格犬喂饲染毒的草铵膦12个月，染毒剂量分别为每天0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、1.8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、4.5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、8.4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 xml:space="preserve">。高剂量组雄性及雌性分别在第14天和10天被发现死亡，死亡原因是由于心脏和循环衰竭，其中一只犬出现明显的心肌坏死，另一只犬出现轻微心肌坏死和严重的坏死性吸入性肺炎。在这两只犬和另外一只高剂量的雌性犬中出现以下毒性表现：牙关紧闭、流涎和过度活跃，随后是嗜睡和不易动、步态僵硬、震颤、共济失调和痉挛等临床症状。得出NOAEL均为每天4.5 </w:t>
      </w:r>
      <w:r>
        <w:rPr>
          <w:rFonts w:hint="default" w:ascii="Times New Roman" w:hAnsi="Times New Roman" w:eastAsia="仿宋" w:cs="Times New Roman"/>
          <w:color w:val="auto"/>
          <w:sz w:val="28"/>
          <w:szCs w:val="28"/>
          <w:lang w:eastAsia="zh-CN"/>
        </w:rPr>
        <w:t>mg/kg·bw</w:t>
      </w:r>
      <w:r>
        <w:rPr>
          <w:rFonts w:hint="eastAsia" w:eastAsia="仿宋"/>
          <w:color w:val="auto"/>
          <w:sz w:val="28"/>
          <w:szCs w:val="28"/>
          <w:lang w:eastAsia="zh-CN"/>
        </w:rPr>
        <w:t>。</w:t>
      </w:r>
    </w:p>
    <w:p w14:paraId="65AD8155">
      <w:pPr>
        <w:numPr>
          <w:ilvl w:val="0"/>
          <w:numId w:val="4"/>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致癌性及致畸性</w:t>
      </w:r>
    </w:p>
    <w:p w14:paraId="1E2CFB65">
      <w:pPr>
        <w:numPr>
          <w:ilvl w:val="0"/>
          <w:numId w:val="0"/>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一项慢性毒性和致癌性研究表明，在饲粮中使用140</w:t>
      </w:r>
      <w:r>
        <w:rPr>
          <w:rFonts w:hint="eastAsia" w:eastAsia="仿宋"/>
          <w:color w:val="auto"/>
          <w:sz w:val="28"/>
          <w:szCs w:val="28"/>
          <w:lang w:val="en-US" w:eastAsia="zh-CN"/>
        </w:rPr>
        <w:t xml:space="preserve"> </w:t>
      </w:r>
      <w:r>
        <w:rPr>
          <w:rFonts w:hint="eastAsia" w:eastAsia="仿宋"/>
          <w:color w:val="auto"/>
          <w:sz w:val="28"/>
          <w:szCs w:val="28"/>
          <w:lang w:eastAsia="zh-CN"/>
        </w:rPr>
        <w:t>ppm或500</w:t>
      </w:r>
      <w:r>
        <w:rPr>
          <w:rFonts w:hint="eastAsia" w:eastAsia="仿宋"/>
          <w:color w:val="auto"/>
          <w:sz w:val="28"/>
          <w:szCs w:val="28"/>
          <w:lang w:val="en-US" w:eastAsia="zh-CN"/>
        </w:rPr>
        <w:t xml:space="preserve"> </w:t>
      </w:r>
      <w:r>
        <w:rPr>
          <w:rFonts w:hint="eastAsia" w:eastAsia="仿宋"/>
          <w:color w:val="auto"/>
          <w:sz w:val="28"/>
          <w:szCs w:val="28"/>
          <w:lang w:eastAsia="zh-CN"/>
        </w:rPr>
        <w:t>ppm草铵膦，130周后雌性大鼠的死亡率略高，肾脏重量也略有增加，但没有相关的肾毒性迹象。对肝脏和肾脏的谷氨酰胺合成酶（GS）活性、肝脏和血液中的谷胱甘肽（GSH）水平只有轻微的影响。在小鼠的致癌性研究中，喂食160 ppm的雄鼠的存活率降低，血清中的GSH水平略低。草铵膦不影响体重、食物消耗量、死亡率和总体健康状况。血液和组织病理学显示无与草铵膦相关的改变。观察到的肿瘤病变的类型和发生率在该年龄和品系小鼠的正常范围内，尚无证据表明草铵膦对小鼠有致癌性。</w:t>
      </w:r>
    </w:p>
    <w:p w14:paraId="6EDD0F31">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Ana P等研究了45天内暴露于阴性对照（CO）、2.5 mg/L的草甘膦处理组（GBH）、2.5 mg/L的草铵膦处理组（GABH）及50：50（%v/v）混合处理组（GBH-GABH）四组的生物效应-慢性生物测定。将蝌蚪生存环境所有处理组的形态学初始异常率均高于CO（Z=2.16；GBHP=0.01；GABH Z=4.09，P&lt;0.01；Z=2.25，GBH-GABH P=0.01）。暴露2天的GBH处理组形态异常率为9.04%，GABH处理组为14.08%，GBH-GABH处理组为9.95%。腹部水肿、背腹轴弯曲和双侧不对称是暴露后2天和10天最常见的形态学异常类型。在处理组中也经常出现尾部和腹部的异常情况，也观察到腹部异常、小眼症、尾鳍和口腔椎间盘其他类型的改变。在测定结束时（45天），水肿是生长中最常见的异常类型，而眼睛异常是GABH治疗中唯一观察到的异常类型。在GBH-GABH处理组中，观察到水肿、双侧不对称和鼻子异常等情况。</w:t>
      </w:r>
    </w:p>
    <w:p w14:paraId="5404645C">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在暴露48 h后，所有除草剂处理的蝌蚪形态异常率均显著高于CO。腹部水肿是暴露后48</w:t>
      </w:r>
      <w:r>
        <w:rPr>
          <w:rFonts w:hint="eastAsia" w:eastAsia="仿宋"/>
          <w:color w:val="auto"/>
          <w:sz w:val="28"/>
          <w:szCs w:val="28"/>
          <w:lang w:val="en-US" w:eastAsia="zh-CN"/>
        </w:rPr>
        <w:t xml:space="preserve"> h</w:t>
      </w:r>
      <w:r>
        <w:rPr>
          <w:rFonts w:hint="eastAsia" w:eastAsia="仿宋"/>
          <w:color w:val="auto"/>
          <w:sz w:val="28"/>
          <w:szCs w:val="28"/>
          <w:lang w:eastAsia="zh-CN"/>
        </w:rPr>
        <w:t>、10天和45天时最常见的异常类型。所有除草剂处理均有DNA损伤记录。甲状腺素仅在GABH处理中增加。甘谷胱肽s-转移酶在GABH和GBH-GABH处理中降低，而过氧化氢酶在个体GBH和GABH处理中降低。总的来说，GABH处理的蝌蚪的致畸性、DNA损伤、激素破坏（T4）和氧化应激均大于</w:t>
      </w:r>
      <w:r>
        <w:rPr>
          <w:rFonts w:hint="eastAsia" w:eastAsia="仿宋"/>
          <w:color w:val="auto"/>
          <w:sz w:val="28"/>
          <w:szCs w:val="28"/>
          <w:lang w:val="en-US" w:eastAsia="zh-CN"/>
        </w:rPr>
        <w:t>GBH</w:t>
      </w:r>
      <w:r>
        <w:rPr>
          <w:rFonts w:hint="eastAsia" w:eastAsia="仿宋"/>
          <w:color w:val="auto"/>
          <w:sz w:val="28"/>
          <w:szCs w:val="28"/>
          <w:lang w:eastAsia="zh-CN"/>
        </w:rPr>
        <w:t>处理的蝌蚪。在我们的研究中，所有除草剂处理的早期高形态异常率表明GBH和GABH对两栖动物具有致畸作用。对照组蝌蚪的形态异常率（≈为5%）与野生两栖动物种群的预期形态异常率一致，通常在5%以下。</w:t>
      </w:r>
    </w:p>
    <w:p w14:paraId="28B5893D">
      <w:pPr>
        <w:numPr>
          <w:ilvl w:val="0"/>
          <w:numId w:val="5"/>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遗传毒性</w:t>
      </w:r>
    </w:p>
    <w:p w14:paraId="0466C20E">
      <w:pPr>
        <w:numPr>
          <w:ilvl w:val="0"/>
          <w:numId w:val="0"/>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Kim等研究发现围产期草铵膦暴露导致大鼠行为变化，特别是运动功能行为，大鼠出现四肢和躯干肌肉无力以及运动协调失衡，并且幼崽体重下降增加了发育迟缓的可能性。此外还会影响大脑皮质的发育，特别是通过干扰神经元间的迁移，导致发育障碍，包括自闭症和智力障碍。</w:t>
      </w:r>
    </w:p>
    <w:p w14:paraId="4582E60F">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 xml:space="preserve">第二项研究表明草铵膦处理组ICR小鼠第10天，大部分胚胎都有特定的形态学缺陷，草铵膦显著减少了胚胎顶臀长度和体对数量，并在10 </w:t>
      </w:r>
      <w:r>
        <w:rPr>
          <w:rFonts w:hint="default" w:ascii="Times New Roman" w:hAnsi="Times New Roman" w:eastAsia="仿宋" w:cs="Times New Roman"/>
          <w:color w:val="auto"/>
          <w:sz w:val="28"/>
          <w:szCs w:val="28"/>
          <w:lang w:eastAsia="zh-CN"/>
        </w:rPr>
        <w:t>μg/m</w:t>
      </w:r>
      <w:r>
        <w:rPr>
          <w:rFonts w:hint="default" w:ascii="Times New Roman" w:hAnsi="Times New Roman" w:eastAsia="仿宋" w:cs="Times New Roman"/>
          <w:color w:val="auto"/>
          <w:sz w:val="28"/>
          <w:szCs w:val="28"/>
          <w:lang w:val="en-US" w:eastAsia="zh-CN"/>
        </w:rPr>
        <w:t>L</w:t>
      </w:r>
      <w:r>
        <w:rPr>
          <w:rFonts w:hint="eastAsia" w:eastAsia="仿宋"/>
          <w:color w:val="auto"/>
          <w:sz w:val="28"/>
          <w:szCs w:val="28"/>
          <w:lang w:eastAsia="zh-CN"/>
        </w:rPr>
        <w:t xml:space="preserve">时产生了较高的形态缺陷（84.6%）。这些胚胎的特征是侧头起水泡（100%），前脑发育不全(57%），在20 </w:t>
      </w:r>
      <w:r>
        <w:rPr>
          <w:rFonts w:hint="default" w:ascii="Times New Roman" w:hAnsi="Times New Roman" w:eastAsia="仿宋" w:cs="Times New Roman"/>
          <w:color w:val="auto"/>
          <w:sz w:val="28"/>
          <w:szCs w:val="28"/>
          <w:lang w:eastAsia="zh-CN"/>
        </w:rPr>
        <w:t>μg/m</w:t>
      </w:r>
      <w:r>
        <w:rPr>
          <w:rFonts w:hint="default" w:ascii="Times New Roman" w:hAnsi="Times New Roman" w:eastAsia="仿宋" w:cs="Times New Roman"/>
          <w:color w:val="auto"/>
          <w:sz w:val="28"/>
          <w:szCs w:val="28"/>
          <w:lang w:val="en-US" w:eastAsia="zh-CN"/>
        </w:rPr>
        <w:t>L</w:t>
      </w:r>
      <w:r>
        <w:rPr>
          <w:rFonts w:hint="eastAsia" w:eastAsia="仿宋"/>
          <w:color w:val="auto"/>
          <w:sz w:val="28"/>
          <w:szCs w:val="28"/>
          <w:lang w:eastAsia="zh-CN"/>
        </w:rPr>
        <w:t>时出现唇裂（42.9%）。在组织学研究中，仅在第10天胚胎的脑泡和神经管的神经上皮中检测到细胞死亡。</w:t>
      </w:r>
    </w:p>
    <w:p w14:paraId="0F43A3FA">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第三项研究中，将雌性小鼠在出生前和产后均暴露于低剂量草铵膦来探讨对后代发育的影响。在大脑水平上，草铵膦暴露导致后代的脑重量有所增加。此外，在出生后第15天，小鼠幼崽的大脑中观察到两个与自闭症样缺陷有关的基因（Pten和Peg3）表达减少。说明在产前和产后接触草铵膦与以后生活中出现自闭症样症状之间的联系。</w:t>
      </w:r>
    </w:p>
    <w:p w14:paraId="519FD3A6">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 xml:space="preserve">第四项研究中，将雌性小鼠随机分为两组，每组16只。处理组草铵膦饮用水浓度为12 </w:t>
      </w:r>
      <w:r>
        <w:rPr>
          <w:rFonts w:hint="default" w:ascii="Times New Roman" w:hAnsi="Times New Roman" w:eastAsia="仿宋" w:cs="Times New Roman"/>
          <w:color w:val="auto"/>
          <w:sz w:val="28"/>
          <w:szCs w:val="28"/>
          <w:lang w:eastAsia="zh-CN"/>
        </w:rPr>
        <w:t>μg/m</w:t>
      </w:r>
      <w:r>
        <w:rPr>
          <w:rFonts w:hint="default" w:ascii="Times New Roman" w:hAnsi="Times New Roman" w:eastAsia="仿宋" w:cs="Times New Roman"/>
          <w:color w:val="auto"/>
          <w:sz w:val="28"/>
          <w:szCs w:val="28"/>
          <w:lang w:val="en-US" w:eastAsia="zh-CN"/>
        </w:rPr>
        <w:t>L</w:t>
      </w:r>
      <w:r>
        <w:rPr>
          <w:rFonts w:hint="eastAsia" w:eastAsia="仿宋"/>
          <w:color w:val="auto"/>
          <w:sz w:val="28"/>
          <w:szCs w:val="28"/>
          <w:lang w:eastAsia="zh-CN"/>
        </w:rPr>
        <w:t>，治疗8周后，雌性小鼠以1：2的比例与雄性小鼠交配，一直持续给药到分娩。与对照组相比，处理组的活幼崽或怀孕的数量显著减少。处理组小鼠后代社交能力受损，并表现出重复动作等类似自闭症样行为。通过对第4、6和8周收集的粪便样本进行了微生物群分析发现，处理组微生物群由更多的革兰氏阴性菌和更少的革兰氏阳性菌组成，并且往往比对照组更具有致病性和应激耐受性。将治疗组的粪便微生物群移植到对照组后代小鼠（FMT1组），导致运动能力受损、社会互动减少、缺乏对新奇事物的爱好，这与处理组的自闭症样行为相似。同时，将对照组的粪便微生物群移植到草铵膦子代小鼠（FMT2组）中，均未能逆转任何异常行为，表明草铵膦诱导的肠道微生物群紊乱可导致不可逆的神经发育损伤。</w:t>
      </w:r>
    </w:p>
    <w:p w14:paraId="130C4EE0">
      <w:pPr>
        <w:numPr>
          <w:ilvl w:val="0"/>
          <w:numId w:val="6"/>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神经毒性</w:t>
      </w:r>
    </w:p>
    <w:p w14:paraId="6D9AE3D8">
      <w:pPr>
        <w:numPr>
          <w:ilvl w:val="0"/>
          <w:numId w:val="0"/>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Selim等研究了皮下注射3种不同剂量的草铵膦（40</w:t>
      </w:r>
      <w:r>
        <w:rPr>
          <w:rFonts w:hint="eastAsia" w:eastAsia="仿宋"/>
          <w:color w:val="auto"/>
          <w:sz w:val="28"/>
          <w:szCs w:val="28"/>
          <w:lang w:val="en-US" w:eastAsia="zh-CN"/>
        </w:rPr>
        <w:t xml:space="preserve"> </w:t>
      </w:r>
      <w:r>
        <w:rPr>
          <w:rFonts w:hint="default" w:ascii="Times New Roman" w:hAnsi="Times New Roman" w:eastAsia="仿宋" w:cs="Times New Roman"/>
          <w:color w:val="auto"/>
          <w:sz w:val="28"/>
          <w:szCs w:val="28"/>
          <w:lang w:eastAsia="zh-CN"/>
        </w:rPr>
        <w:t>μM</w:t>
      </w:r>
      <w:r>
        <w:rPr>
          <w:rFonts w:hint="eastAsia" w:eastAsia="仿宋"/>
          <w:color w:val="auto"/>
          <w:sz w:val="28"/>
          <w:szCs w:val="28"/>
          <w:lang w:eastAsia="zh-CN"/>
        </w:rPr>
        <w:t>、80</w:t>
      </w:r>
      <w:r>
        <w:rPr>
          <w:rFonts w:hint="eastAsia" w:eastAsia="仿宋"/>
          <w:color w:val="auto"/>
          <w:sz w:val="28"/>
          <w:szCs w:val="28"/>
          <w:lang w:val="en-US" w:eastAsia="zh-CN"/>
        </w:rPr>
        <w:t xml:space="preserve"> </w:t>
      </w:r>
      <w:r>
        <w:rPr>
          <w:rFonts w:hint="default" w:ascii="Times New Roman" w:hAnsi="Times New Roman" w:eastAsia="仿宋" w:cs="Times New Roman"/>
          <w:color w:val="auto"/>
          <w:sz w:val="28"/>
          <w:szCs w:val="28"/>
          <w:lang w:eastAsia="zh-CN"/>
        </w:rPr>
        <w:t>μM</w:t>
      </w:r>
      <w:r>
        <w:rPr>
          <w:rFonts w:hint="eastAsia" w:eastAsia="仿宋"/>
          <w:color w:val="auto"/>
          <w:sz w:val="28"/>
          <w:szCs w:val="28"/>
          <w:lang w:eastAsia="zh-CN"/>
        </w:rPr>
        <w:t xml:space="preserve">或120 </w:t>
      </w:r>
      <w:r>
        <w:rPr>
          <w:rFonts w:hint="default" w:ascii="Times New Roman" w:hAnsi="Times New Roman" w:eastAsia="仿宋" w:cs="Times New Roman"/>
          <w:color w:val="auto"/>
          <w:sz w:val="28"/>
          <w:szCs w:val="28"/>
          <w:lang w:eastAsia="zh-CN"/>
        </w:rPr>
        <w:t>μM</w:t>
      </w:r>
      <w:r>
        <w:rPr>
          <w:rFonts w:hint="eastAsia" w:eastAsia="仿宋"/>
          <w:color w:val="auto"/>
          <w:sz w:val="28"/>
          <w:szCs w:val="28"/>
          <w:lang w:eastAsia="zh-CN"/>
        </w:rPr>
        <w:t>，相当于7 mg/kg/day、14 mg/kg/day或21 mg/kg/day），经过24 h、48 h和72 h后，对大鼠视神经的急性毒性作用。24</w:t>
      </w:r>
      <w:r>
        <w:rPr>
          <w:rFonts w:hint="eastAsia" w:eastAsia="仿宋"/>
          <w:color w:val="auto"/>
          <w:sz w:val="28"/>
          <w:szCs w:val="28"/>
          <w:lang w:val="en-US" w:eastAsia="zh-CN"/>
        </w:rPr>
        <w:t xml:space="preserve"> </w:t>
      </w:r>
      <w:r>
        <w:rPr>
          <w:rFonts w:hint="eastAsia" w:eastAsia="仿宋"/>
          <w:color w:val="auto"/>
          <w:sz w:val="28"/>
          <w:szCs w:val="28"/>
          <w:lang w:eastAsia="zh-CN"/>
        </w:rPr>
        <w:t>h和48</w:t>
      </w:r>
      <w:r>
        <w:rPr>
          <w:rFonts w:hint="eastAsia" w:eastAsia="仿宋"/>
          <w:color w:val="auto"/>
          <w:sz w:val="28"/>
          <w:szCs w:val="28"/>
          <w:lang w:val="en-US" w:eastAsia="zh-CN"/>
        </w:rPr>
        <w:t xml:space="preserve"> </w:t>
      </w:r>
      <w:r>
        <w:rPr>
          <w:rFonts w:hint="eastAsia" w:eastAsia="仿宋"/>
          <w:color w:val="auto"/>
          <w:sz w:val="28"/>
          <w:szCs w:val="28"/>
          <w:lang w:eastAsia="zh-CN"/>
        </w:rPr>
        <w:t>h后，处理组中视神经促炎因子IL-1</w:t>
      </w:r>
      <w:r>
        <w:rPr>
          <w:rFonts w:hint="default" w:ascii="Times New Roman" w:hAnsi="Times New Roman" w:eastAsia="仿宋" w:cs="Times New Roman"/>
          <w:color w:val="auto"/>
          <w:sz w:val="28"/>
          <w:szCs w:val="28"/>
          <w:lang w:eastAsia="zh-CN"/>
        </w:rPr>
        <w:t>β</w:t>
      </w:r>
      <w:r>
        <w:rPr>
          <w:rFonts w:hint="eastAsia" w:eastAsia="仿宋"/>
          <w:color w:val="auto"/>
          <w:sz w:val="28"/>
          <w:szCs w:val="28"/>
          <w:lang w:eastAsia="zh-CN"/>
        </w:rPr>
        <w:t xml:space="preserve">和凋亡因子c-Fos的免疫阳性率增加，48 h后，处理组眼内压均增加（P&lt;0.05），72 h后80 </w:t>
      </w:r>
      <w:r>
        <w:rPr>
          <w:rFonts w:hint="default" w:ascii="Times New Roman" w:hAnsi="Times New Roman" w:eastAsia="仿宋" w:cs="Times New Roman"/>
          <w:color w:val="auto"/>
          <w:sz w:val="28"/>
          <w:szCs w:val="28"/>
          <w:lang w:eastAsia="zh-CN"/>
        </w:rPr>
        <w:t>μM</w:t>
      </w:r>
      <w:r>
        <w:rPr>
          <w:rFonts w:hint="eastAsia" w:eastAsia="仿宋"/>
          <w:color w:val="auto"/>
          <w:sz w:val="28"/>
          <w:szCs w:val="28"/>
          <w:lang w:eastAsia="zh-CN"/>
        </w:rPr>
        <w:t xml:space="preserve">和120 </w:t>
      </w:r>
      <w:r>
        <w:rPr>
          <w:rFonts w:hint="default" w:ascii="Times New Roman" w:hAnsi="Times New Roman" w:eastAsia="仿宋" w:cs="Times New Roman"/>
          <w:color w:val="auto"/>
          <w:sz w:val="28"/>
          <w:szCs w:val="28"/>
          <w:lang w:eastAsia="zh-CN"/>
        </w:rPr>
        <w:t>μM</w:t>
      </w:r>
      <w:r>
        <w:rPr>
          <w:rFonts w:hint="eastAsia" w:eastAsia="仿宋"/>
          <w:color w:val="auto"/>
          <w:sz w:val="28"/>
          <w:szCs w:val="28"/>
          <w:lang w:eastAsia="zh-CN"/>
        </w:rPr>
        <w:t>处理组c-Fos的免疫阳性最强。</w:t>
      </w:r>
    </w:p>
    <w:p w14:paraId="7FE68517">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在一项为期60天的蜥蜴神经毒性研究中，将90只蜥蜴（雌雄各半）随机分为对照组、草铵膦污染土壤组和L-草铵膦污染土壤组三组（20</w:t>
      </w:r>
      <w:r>
        <w:rPr>
          <w:rFonts w:hint="eastAsia" w:eastAsia="仿宋"/>
          <w:color w:val="auto"/>
          <w:sz w:val="28"/>
          <w:szCs w:val="28"/>
          <w:lang w:val="en-US" w:eastAsia="zh-CN"/>
        </w:rPr>
        <w:t xml:space="preserve"> </w:t>
      </w:r>
      <w:r>
        <w:rPr>
          <w:rFonts w:hint="eastAsia" w:eastAsia="仿宋"/>
          <w:color w:val="auto"/>
          <w:sz w:val="28"/>
          <w:szCs w:val="28"/>
          <w:lang w:eastAsia="zh-CN"/>
        </w:rPr>
        <w:t>mg/kg，5</w:t>
      </w:r>
      <w:r>
        <w:rPr>
          <w:rFonts w:hint="eastAsia" w:eastAsia="仿宋"/>
          <w:color w:val="auto"/>
          <w:sz w:val="28"/>
          <w:szCs w:val="28"/>
          <w:lang w:val="en-US" w:eastAsia="zh-CN"/>
        </w:rPr>
        <w:t xml:space="preserve"> </w:t>
      </w:r>
      <w:r>
        <w:rPr>
          <w:rFonts w:hint="eastAsia" w:eastAsia="仿宋"/>
          <w:color w:val="auto"/>
          <w:sz w:val="28"/>
          <w:szCs w:val="28"/>
          <w:lang w:eastAsia="zh-CN"/>
        </w:rPr>
        <w:t>kg）。草铵膦组2只雄性蜥蜴死亡，与对照组相比，处理组的平均最大冲刺速度（AMSS）显著下降，并且表现出胆怯和焦虑。雄性体重下降程度大于雌性，进一步测定脑组织中草铵膦含量为0.72</w:t>
      </w:r>
      <w:r>
        <w:rPr>
          <w:rFonts w:hint="eastAsia" w:eastAsia="仿宋"/>
          <w:color w:val="auto"/>
          <w:sz w:val="28"/>
          <w:szCs w:val="28"/>
          <w:lang w:val="en-US" w:eastAsia="zh-CN"/>
        </w:rPr>
        <w:t xml:space="preserve"> </w:t>
      </w:r>
      <w:r>
        <w:rPr>
          <w:rFonts w:hint="eastAsia" w:eastAsia="仿宋"/>
          <w:color w:val="auto"/>
          <w:sz w:val="28"/>
          <w:szCs w:val="28"/>
          <w:lang w:eastAsia="zh-CN"/>
        </w:rPr>
        <w:t>mg/kg~0.86</w:t>
      </w:r>
      <w:r>
        <w:rPr>
          <w:rFonts w:hint="eastAsia" w:eastAsia="仿宋"/>
          <w:color w:val="auto"/>
          <w:sz w:val="28"/>
          <w:szCs w:val="28"/>
          <w:lang w:val="en-US" w:eastAsia="zh-CN"/>
        </w:rPr>
        <w:t xml:space="preserve"> </w:t>
      </w:r>
      <w:r>
        <w:rPr>
          <w:rFonts w:hint="eastAsia" w:eastAsia="仿宋"/>
          <w:color w:val="auto"/>
          <w:sz w:val="28"/>
          <w:szCs w:val="28"/>
          <w:lang w:eastAsia="zh-CN"/>
        </w:rPr>
        <w:t>mg/kg。草铵膦组乙酰胆碱酯酶活性最低，雄性降低46.67%，雌性降低11.97%。雄性大脑中的超氧化物歧化酶（SOD）活性在暴露60天后均表现出显著升高，雌性大脑过氧化氢酶（CAT）活性显著降低，降低了21.08%。草铵膦诱导神经毒性相关酶、抗氧化酶和脂质过氧化等生物标志物的变化导致了蜥蜴运动能力的改变。</w:t>
      </w:r>
    </w:p>
    <w:p w14:paraId="75FFA8FF">
      <w:pPr>
        <w:spacing w:line="460" w:lineRule="exact"/>
        <w:ind w:firstLine="560" w:firstLineChars="200"/>
        <w:rPr>
          <w:rFonts w:hint="eastAsia" w:eastAsia="仿宋"/>
          <w:color w:val="auto"/>
          <w:sz w:val="28"/>
          <w:szCs w:val="28"/>
          <w:lang w:val="en-US" w:eastAsia="zh-CN"/>
        </w:rPr>
      </w:pPr>
      <w:r>
        <w:rPr>
          <w:rFonts w:hint="eastAsia" w:eastAsia="仿宋"/>
          <w:color w:val="auto"/>
          <w:sz w:val="28"/>
          <w:szCs w:val="28"/>
          <w:lang w:eastAsia="zh-CN"/>
        </w:rPr>
        <w:t>另一项研究发现，暴露于5</w:t>
      </w:r>
      <w:r>
        <w:rPr>
          <w:rFonts w:hint="eastAsia" w:eastAsia="仿宋"/>
          <w:color w:val="auto"/>
          <w:sz w:val="28"/>
          <w:szCs w:val="28"/>
          <w:lang w:val="en-US" w:eastAsia="zh-CN"/>
        </w:rPr>
        <w:t xml:space="preserve"> </w:t>
      </w:r>
      <w:r>
        <w:rPr>
          <w:rFonts w:hint="eastAsia" w:eastAsia="仿宋"/>
          <w:color w:val="auto"/>
          <w:sz w:val="28"/>
          <w:szCs w:val="28"/>
          <w:lang w:eastAsia="zh-CN"/>
        </w:rPr>
        <w:t>mg/kg和10 mg/kg草铵膦会引起C57BL/6J小鼠轻度空间记忆损伤、海马结构的改变和以及海马体谷氨酰胺合成酶（GS）活动的显著增加。</w:t>
      </w:r>
    </w:p>
    <w:p w14:paraId="2728AE9E">
      <w:pPr>
        <w:numPr>
          <w:ilvl w:val="0"/>
          <w:numId w:val="7"/>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甲状腺毒性</w:t>
      </w:r>
    </w:p>
    <w:p w14:paraId="4DCCEC8A">
      <w:pPr>
        <w:numPr>
          <w:ilvl w:val="0"/>
          <w:numId w:val="0"/>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组织学评估显示，非洲爪蟾蝌蚪平均甲状腺面积和甲状腺滤泡上皮高度在0.15 mg/L和0.25 mg/L暴露后显著增加（P&lt;0.05）。</w:t>
      </w:r>
    </w:p>
    <w:p w14:paraId="1FE578AA">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（7）肝脏毒性</w:t>
      </w:r>
    </w:p>
    <w:p w14:paraId="7142D024">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Sevim等评估了三种不同剂量的草铵膦（7 mg/kg、14 mg/kg和21 mg/kg）对大鼠肝脏细胞凋亡和坏死的急性毒性。通过组织病理学检查和免疫组化检测退行性和坏死性肝细胞和裂解的caspase 3活性，在14 mg/kg和21 mg/kg的处理组中，草铵膦显著增加了大鼠肝脏中caspase 3的免疫阳性率。</w:t>
      </w:r>
    </w:p>
    <w:p w14:paraId="3AD0A150">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w:t>
      </w:r>
      <w:r>
        <w:rPr>
          <w:rFonts w:hint="eastAsia" w:eastAsia="仿宋"/>
          <w:color w:val="auto"/>
          <w:sz w:val="28"/>
          <w:szCs w:val="28"/>
          <w:lang w:val="en-US" w:eastAsia="zh-CN"/>
        </w:rPr>
        <w:t>8</w:t>
      </w:r>
      <w:r>
        <w:rPr>
          <w:rFonts w:hint="eastAsia" w:eastAsia="仿宋"/>
          <w:color w:val="auto"/>
          <w:sz w:val="28"/>
          <w:szCs w:val="28"/>
          <w:lang w:eastAsia="zh-CN"/>
        </w:rPr>
        <w:t>）肺脏毒性</w:t>
      </w:r>
    </w:p>
    <w:p w14:paraId="654A86F0">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Maillet等发现C57BL/6（B6）小鼠单次暴露于1 mg/kg草铵膦可在6</w:t>
      </w:r>
      <w:r>
        <w:rPr>
          <w:rFonts w:hint="eastAsia" w:eastAsia="仿宋"/>
          <w:color w:val="auto"/>
          <w:sz w:val="28"/>
          <w:szCs w:val="28"/>
          <w:lang w:val="en-US" w:eastAsia="zh-CN"/>
        </w:rPr>
        <w:t xml:space="preserve"> h~</w:t>
      </w:r>
      <w:r>
        <w:rPr>
          <w:rFonts w:hint="eastAsia" w:eastAsia="仿宋"/>
          <w:color w:val="auto"/>
          <w:sz w:val="28"/>
          <w:szCs w:val="28"/>
          <w:lang w:eastAsia="zh-CN"/>
        </w:rPr>
        <w:t>24 h内引起癫痫发作和支气管肺泡间隙炎性细胞募集，导致髓过氧化物酶（MPO）、一氧化氮合酶</w:t>
      </w:r>
      <w:r>
        <w:rPr>
          <w:rFonts w:hint="default" w:ascii="Times New Roman" w:hAnsi="Times New Roman" w:eastAsia="仿宋" w:cs="Times New Roman"/>
          <w:color w:val="auto"/>
          <w:sz w:val="28"/>
          <w:szCs w:val="28"/>
          <w:lang w:eastAsia="zh-CN"/>
        </w:rPr>
        <w:t>（iNOS）增加，引起间质炎症和肺泡间隔破坏，以及白细胞介素1β（IL-1β）升高，肺部炎症依赖于IL-1受体1（IL-1R1）。慢性暴露（0.2 mg/kg，每周3次，连续4周）导致中度肺部炎症和气道高</w:t>
      </w:r>
      <w:r>
        <w:rPr>
          <w:rFonts w:hint="eastAsia" w:eastAsia="仿宋"/>
          <w:color w:val="auto"/>
          <w:sz w:val="28"/>
          <w:szCs w:val="28"/>
          <w:lang w:eastAsia="zh-CN"/>
        </w:rPr>
        <w:t>反应性增强，气道阻力显著增加。</w:t>
      </w:r>
    </w:p>
    <w:p w14:paraId="37354C40">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（9）生殖毒性</w:t>
      </w:r>
    </w:p>
    <w:p w14:paraId="460C1CB5">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第一项研究中，持续5周给成年雄性小鼠注射0.2</w:t>
      </w:r>
      <w:r>
        <w:rPr>
          <w:rFonts w:hint="eastAsia" w:eastAsia="仿宋"/>
          <w:color w:val="auto"/>
          <w:sz w:val="28"/>
          <w:szCs w:val="28"/>
          <w:lang w:val="en-US" w:eastAsia="zh-CN"/>
        </w:rPr>
        <w:t xml:space="preserve"> </w:t>
      </w:r>
      <w:r>
        <w:rPr>
          <w:rFonts w:hint="eastAsia" w:eastAsia="仿宋"/>
          <w:color w:val="auto"/>
          <w:sz w:val="28"/>
          <w:szCs w:val="28"/>
          <w:lang w:eastAsia="zh-CN"/>
        </w:rPr>
        <w:t>mg/kg/d的草铵膦，以收集它们在交配后的精子或4-细胞胚胎。CUT&amp;Tag测序显示，精子参与胚胎发育的活性组蛋白修饰标记H3K4me3和H3K27ac基因的改变，而RNA测序则发现了4-细胞胚胎中差异表达基因。精子中H3K4me3和H3K27ac等基因在胚胎中表达上调，而Dcn等基因则相反。草铵膦诱导的精子H3K4me3和H3K27ac的变化与着床前胚胎的基因表达一致，这可能进一步影响胚胎发育和子代健康。</w:t>
      </w:r>
    </w:p>
    <w:p w14:paraId="24FAE3F3">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为了揭示草铵膦对哺乳动物雄性生殖健康的潜在影响，持续5周对成年雄性C57BL/6J小鼠注射0.2 mg/kg/d草铵膦。对DNA甲基化和组蛋白修饰（H3K27me3和H3K9me3）以及精子中的mRNA转录水平进行深度测序。在表观基因组方面，草铵膦处理组精子中H3K27me3蛋白水平显著升高，草铵膦主要损害小鼠精子表观基因组和转录组，对生育能力、睾丸组织学或精液质量影响不大。</w:t>
      </w:r>
    </w:p>
    <w:p w14:paraId="1F29E621">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Zhao X等发现秀丽隐杆线虫经草铵膦处理后，体内卵和后代数量显著减少并诱导性腺细胞凋亡。</w:t>
      </w:r>
    </w:p>
    <w:p w14:paraId="18AC3744">
      <w:pPr>
        <w:numPr>
          <w:ilvl w:val="0"/>
          <w:numId w:val="8"/>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发育毒性</w:t>
      </w:r>
    </w:p>
    <w:p w14:paraId="08424F8A">
      <w:pPr>
        <w:numPr>
          <w:ilvl w:val="0"/>
          <w:numId w:val="0"/>
        </w:num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在斑马鱼受精后6小时随机选择约500个的正常胚胎，并暴露于0 mg/L、2 mg/L、4 mg/L、10 mg/L的草铵膦。当草铵膦浓度为2 mg/L或4 mg/L时，与对照组相比，生存率有显著性差异。浓度增加到10 mg/L时，胚胎存活率迅速下降到60%。当暴露于4 mg/L和10 mg/L，观察到脊柱畸形，最显著的畸形是卵黄囊水肿，畸形率高达32%。</w:t>
      </w:r>
    </w:p>
    <w:p w14:paraId="26269DA4">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 xml:space="preserve">Babalola等发现连续暴露21天浓度为0.05 mg/L的非洲爪蟾蝌蚪的平均后肢长度明显下降（P&lt;0.05)。Zhao X等将秀丽隐杆线虫连续暴露于浓度为0.1 </w:t>
      </w:r>
      <w:r>
        <w:rPr>
          <w:rFonts w:hint="default" w:ascii="Times New Roman" w:hAnsi="Times New Roman" w:eastAsia="仿宋" w:cs="Times New Roman"/>
          <w:color w:val="auto"/>
          <w:sz w:val="28"/>
          <w:szCs w:val="28"/>
          <w:lang w:eastAsia="zh-CN"/>
        </w:rPr>
        <w:t>μg/L</w:t>
      </w:r>
      <w:r>
        <w:rPr>
          <w:rFonts w:hint="eastAsia" w:eastAsia="仿宋"/>
          <w:color w:val="auto"/>
          <w:sz w:val="28"/>
          <w:szCs w:val="28"/>
          <w:lang w:eastAsia="zh-CN"/>
        </w:rPr>
        <w:t xml:space="preserve">、1 </w:t>
      </w:r>
      <w:r>
        <w:rPr>
          <w:rFonts w:hint="default" w:ascii="Times New Roman" w:hAnsi="Times New Roman" w:eastAsia="仿宋" w:cs="Times New Roman"/>
          <w:color w:val="auto"/>
          <w:sz w:val="28"/>
          <w:szCs w:val="28"/>
          <w:lang w:eastAsia="zh-CN"/>
        </w:rPr>
        <w:t>μg/L</w:t>
      </w:r>
      <w:r>
        <w:rPr>
          <w:rFonts w:hint="eastAsia" w:eastAsia="仿宋"/>
          <w:color w:val="auto"/>
          <w:sz w:val="28"/>
          <w:szCs w:val="28"/>
          <w:lang w:eastAsia="zh-CN"/>
        </w:rPr>
        <w:t xml:space="preserve">、10 </w:t>
      </w:r>
      <w:r>
        <w:rPr>
          <w:rFonts w:hint="default" w:ascii="Times New Roman" w:hAnsi="Times New Roman" w:eastAsia="仿宋" w:cs="Times New Roman"/>
          <w:color w:val="auto"/>
          <w:sz w:val="28"/>
          <w:szCs w:val="28"/>
          <w:lang w:eastAsia="zh-CN"/>
        </w:rPr>
        <w:t>μg/L</w:t>
      </w:r>
      <w:r>
        <w:rPr>
          <w:rFonts w:hint="eastAsia" w:eastAsia="仿宋"/>
          <w:color w:val="auto"/>
          <w:sz w:val="28"/>
          <w:szCs w:val="28"/>
          <w:lang w:eastAsia="zh-CN"/>
        </w:rPr>
        <w:t xml:space="preserve">和100 </w:t>
      </w:r>
      <w:r>
        <w:rPr>
          <w:rFonts w:hint="default" w:ascii="Times New Roman" w:hAnsi="Times New Roman" w:eastAsia="仿宋" w:cs="Times New Roman"/>
          <w:color w:val="auto"/>
          <w:sz w:val="28"/>
          <w:szCs w:val="28"/>
          <w:lang w:eastAsia="zh-CN"/>
        </w:rPr>
        <w:t>μg/L</w:t>
      </w:r>
      <w:r>
        <w:rPr>
          <w:rFonts w:hint="eastAsia" w:eastAsia="仿宋"/>
          <w:color w:val="auto"/>
          <w:sz w:val="28"/>
          <w:szCs w:val="28"/>
          <w:lang w:eastAsia="zh-CN"/>
        </w:rPr>
        <w:t>的水中，发现处理组出现发育周期、体长和宽度缩短、衰老加速和寿命缩短等现象。</w:t>
      </w:r>
    </w:p>
    <w:p w14:paraId="0DB47590">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（11）参考剂量</w:t>
      </w:r>
    </w:p>
    <w:p w14:paraId="7E47DDCC">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世卫组织和粮农组织确定了草铵膦每日可接受摄入量（ADI）为0.02</w:t>
      </w:r>
      <w:r>
        <w:rPr>
          <w:rFonts w:hint="eastAsia" w:eastAsia="仿宋"/>
          <w:color w:val="auto"/>
          <w:sz w:val="28"/>
          <w:szCs w:val="28"/>
          <w:lang w:val="en-US" w:eastAsia="zh-CN"/>
        </w:rPr>
        <w:t xml:space="preserve"> </w:t>
      </w:r>
      <w:r>
        <w:rPr>
          <w:rFonts w:hint="eastAsia" w:eastAsia="仿宋"/>
          <w:color w:val="auto"/>
          <w:sz w:val="28"/>
          <w:szCs w:val="28"/>
          <w:lang w:eastAsia="zh-CN"/>
        </w:rPr>
        <w:t>mg/kg，该值是基于小鼠和大鼠的观察到的最大无作用剂量（NOAEL）计算出来的，分别为11</w:t>
      </w:r>
      <w:r>
        <w:rPr>
          <w:rFonts w:hint="eastAsia" w:eastAsia="仿宋"/>
          <w:color w:val="auto"/>
          <w:sz w:val="28"/>
          <w:szCs w:val="28"/>
          <w:lang w:val="en-US" w:eastAsia="zh-CN"/>
        </w:rPr>
        <w:t xml:space="preserve"> </w:t>
      </w:r>
      <w:r>
        <w:rPr>
          <w:rFonts w:hint="eastAsia" w:eastAsia="仿宋"/>
          <w:color w:val="auto"/>
          <w:sz w:val="28"/>
          <w:szCs w:val="28"/>
          <w:lang w:eastAsia="zh-CN"/>
        </w:rPr>
        <w:t>mg/kg和2.1</w:t>
      </w:r>
      <w:r>
        <w:rPr>
          <w:rFonts w:hint="eastAsia" w:eastAsia="仿宋"/>
          <w:color w:val="auto"/>
          <w:sz w:val="28"/>
          <w:szCs w:val="28"/>
          <w:lang w:val="en-US" w:eastAsia="zh-CN"/>
        </w:rPr>
        <w:t xml:space="preserve"> </w:t>
      </w:r>
      <w:r>
        <w:rPr>
          <w:rFonts w:hint="eastAsia" w:eastAsia="仿宋"/>
          <w:color w:val="auto"/>
          <w:sz w:val="28"/>
          <w:szCs w:val="28"/>
          <w:lang w:eastAsia="zh-CN"/>
        </w:rPr>
        <w:t>mg/kg，安全系数为100。</w:t>
      </w:r>
    </w:p>
    <w:p w14:paraId="5EBFA745">
      <w:pPr>
        <w:shd w:val="clear" w:color="auto" w:fill="FFFFFF"/>
        <w:spacing w:line="460" w:lineRule="exact"/>
        <w:ind w:firstLine="560" w:firstLineChars="200"/>
        <w:rPr>
          <w:rFonts w:eastAsia="仿宋"/>
          <w:color w:val="auto"/>
          <w:sz w:val="28"/>
          <w:szCs w:val="28"/>
        </w:rPr>
      </w:pPr>
      <w:r>
        <w:rPr>
          <w:rFonts w:hint="eastAsia" w:eastAsia="仿宋"/>
          <w:color w:val="auto"/>
          <w:sz w:val="28"/>
          <w:szCs w:val="28"/>
        </w:rPr>
        <w:t>3</w:t>
      </w:r>
      <w:r>
        <w:rPr>
          <w:rFonts w:eastAsia="仿宋"/>
          <w:color w:val="auto"/>
          <w:sz w:val="28"/>
          <w:szCs w:val="28"/>
        </w:rPr>
        <w:t xml:space="preserve">.3 </w:t>
      </w:r>
      <w:r>
        <w:rPr>
          <w:rFonts w:eastAsia="黑体"/>
          <w:color w:val="auto"/>
          <w:sz w:val="28"/>
          <w:szCs w:val="28"/>
        </w:rPr>
        <w:t>病例报道</w:t>
      </w:r>
    </w:p>
    <w:p w14:paraId="72290A94">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目前，还未见生产过程中作业人群因接触草铵膦而引起职业中毒。</w:t>
      </w:r>
    </w:p>
    <w:p w14:paraId="2525D6AB">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苏州某医院接诊一名口服草铵膦约200 mL的女性患者，服用后呕吐数次，伴头晕、胸闷不适，无胸痛，无腹痛、腹泻、无昏迷，无抽搐，无大小便失禁。几小时后患者病情恶化，出现神志昏迷，指脉氧最低降至70%，呼吸衰竭，予以血液净化（灌流）治疗。</w:t>
      </w:r>
    </w:p>
    <w:p w14:paraId="37FFFBC7">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赵家斌报道了15例口服草铵膦急性中毒就诊病人，患者口服量较大，血中草铵膦浓度平均为6.37±1.19</w:t>
      </w:r>
      <w:r>
        <w:rPr>
          <w:rFonts w:hint="eastAsia" w:eastAsia="仿宋"/>
          <w:color w:val="auto"/>
          <w:sz w:val="28"/>
          <w:szCs w:val="28"/>
          <w:lang w:val="en-US" w:eastAsia="zh-CN"/>
        </w:rPr>
        <w:t xml:space="preserve"> </w:t>
      </w:r>
      <w:r>
        <w:rPr>
          <w:rFonts w:hint="default" w:ascii="Times New Roman" w:hAnsi="Times New Roman" w:eastAsia="仿宋" w:cs="Times New Roman"/>
          <w:color w:val="auto"/>
          <w:sz w:val="28"/>
          <w:szCs w:val="28"/>
          <w:lang w:eastAsia="zh-CN"/>
        </w:rPr>
        <w:t>μg/L</w:t>
      </w:r>
      <w:r>
        <w:rPr>
          <w:rFonts w:hint="eastAsia" w:eastAsia="仿宋"/>
          <w:color w:val="auto"/>
          <w:sz w:val="28"/>
          <w:szCs w:val="28"/>
          <w:lang w:eastAsia="zh-CN"/>
        </w:rPr>
        <w:t>，出现呕吐4例，休克3例，抽搐3例，胸腔积液6例，昏迷5例，烦躁不安2例，代谢性酸中毒10例，呼吸衰竭6例，肝损伤4例，肾损伤2例，腹泻1例，心肌损伤4例，肺炎8例，1例患者行头颅核磁示胼胝体压部异常信号，考虑脱髓鞘性病变。</w:t>
      </w:r>
    </w:p>
    <w:p w14:paraId="7ABF34FD">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MAO等回顾了131名草铵膦中毒患者的临床资料（包括115名口服暴露和16名非口服暴露）。在口服草铵膦患者中，25例无症状，7例死亡，其他患者出现不同程度的胃肠道、神经系统、心血管和呼吸系统症状，41.7%（n=48）出现中度甚至严重/致命效应。在16例非口服暴露的患者中，没有一例出现严重毒性。</w:t>
      </w:r>
    </w:p>
    <w:p w14:paraId="7B9E4A7D">
      <w:pPr>
        <w:spacing w:line="460" w:lineRule="exact"/>
        <w:ind w:firstLine="560" w:firstLineChars="200"/>
        <w:rPr>
          <w:rFonts w:hint="eastAsia" w:eastAsia="仿宋"/>
          <w:color w:val="auto"/>
          <w:sz w:val="28"/>
          <w:szCs w:val="28"/>
          <w:lang w:eastAsia="zh-CN"/>
        </w:rPr>
      </w:pPr>
      <w:r>
        <w:rPr>
          <w:rFonts w:hint="eastAsia" w:eastAsia="仿宋"/>
          <w:color w:val="auto"/>
          <w:sz w:val="28"/>
          <w:szCs w:val="28"/>
          <w:lang w:eastAsia="zh-CN"/>
        </w:rPr>
        <w:t>Cha等收集了2014年9月至2016年6月期间被诊断为急性草铵膦中毒患者的数据进行前瞻性研究。连续测定血清氨的含量。将患者分为神经并发症组和非神经并发症组两组，神经系统并发症组的血清氨峰值水平均高于对照组（p&lt;0.001）和非神经系统并发症组，非神经并发症组与神经并发症组的摄入量差异有统计学意义（p=0.0085），血清氨峰值水平大于90 mg/dL是神经系统并发症的预测因子，对治疗急性草铵膦中毒的高氨血症具有重要意义。</w:t>
      </w:r>
    </w:p>
    <w:p w14:paraId="0E52AA30">
      <w:pPr>
        <w:shd w:val="clear" w:color="auto" w:fill="FFFFFF"/>
        <w:spacing w:line="460" w:lineRule="exact"/>
        <w:ind w:firstLine="560" w:firstLineChars="200"/>
        <w:rPr>
          <w:rFonts w:hint="default" w:ascii="Times New Roman" w:hAnsi="Times New Roman" w:eastAsia="黑体" w:cs="Times New Roman"/>
          <w:color w:val="auto"/>
          <w:sz w:val="28"/>
          <w:szCs w:val="28"/>
          <w:lang w:val="en-US" w:eastAsia="zh-CN"/>
        </w:rPr>
      </w:pPr>
      <w:r>
        <w:rPr>
          <w:rFonts w:hint="default" w:ascii="Times New Roman" w:hAnsi="Times New Roman" w:eastAsia="黑体" w:cs="Times New Roman"/>
          <w:color w:val="auto"/>
          <w:sz w:val="28"/>
          <w:szCs w:val="28"/>
        </w:rPr>
        <w:t>3.4</w:t>
      </w:r>
      <w:r>
        <w:rPr>
          <w:rFonts w:hint="default" w:ascii="Times New Roman" w:hAnsi="Times New Roman" w:eastAsia="黑体" w:cs="Times New Roman"/>
          <w:color w:val="auto"/>
          <w:sz w:val="28"/>
          <w:szCs w:val="28"/>
          <w:lang w:val="en-US" w:eastAsia="zh-CN"/>
        </w:rPr>
        <w:t>人群流行病学研究资料</w:t>
      </w:r>
    </w:p>
    <w:p w14:paraId="594004B9">
      <w:pPr>
        <w:spacing w:line="460" w:lineRule="exact"/>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自1984年以来，生产线得到进一步优化，配制草铵膦制剂的工人暴露在极低水平的环境中，定期对这些工人进行常规健康检，临床检查及实验室检查均无明显异常。在工作场所及特定用途下尚未发现草铵膦意外中毒案例。大量摄入草铵膦制剂是导致自杀性中毒病例的主要原因。</w:t>
      </w:r>
    </w:p>
    <w:p w14:paraId="15DFFE67">
      <w:pPr>
        <w:shd w:val="clear" w:color="auto" w:fill="FFFFFF"/>
        <w:spacing w:line="460" w:lineRule="exact"/>
        <w:ind w:firstLine="560" w:firstLineChars="200"/>
        <w:rPr>
          <w:rFonts w:hint="default" w:ascii="Times New Roman" w:hAnsi="Times New Roman" w:eastAsia="黑体" w:cs="Times New Roman"/>
          <w:color w:val="auto"/>
          <w:sz w:val="28"/>
          <w:szCs w:val="28"/>
          <w:lang w:val="en-US" w:eastAsia="zh-CN"/>
        </w:rPr>
      </w:pPr>
      <w:r>
        <w:rPr>
          <w:rFonts w:hint="default" w:ascii="Times New Roman" w:hAnsi="Times New Roman" w:eastAsia="黑体" w:cs="Times New Roman"/>
          <w:color w:val="auto"/>
          <w:sz w:val="28"/>
          <w:szCs w:val="28"/>
          <w:lang w:val="en-US" w:eastAsia="zh-CN"/>
        </w:rPr>
        <w:t>3.5毒性机制</w:t>
      </w:r>
    </w:p>
    <w:p w14:paraId="7AA1D2B7">
      <w:pPr>
        <w:spacing w:line="460" w:lineRule="exact"/>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草铵膦中毒患者存在明显的高氨血症，高氨血症是出现神经系统症状的重要预测因素。在哺乳动物体内，草铵膦能够竞争性抑制谷氨酰胺合成酶的活性，其主要毒性表现为肝脏和肾脏内谷氨酰胺合成酶的抑制以及肾脏重量的增加，轻度抑制脑内谷氨酰胺合成酶，也可出现体重下降、摄食量减少等症状，病理检查并未显示出明显的靶器官毒性效应、对胆碱酯酶活性尚无影响。急性草铵膦中毒可引导致等多脏器受损，包括呼吸道、消化道、心血管系统和神经系统等，神经系统主要症状包括头昏、肌肉乏力、意识模糊、昏迷及短暂性记忆丧失等。已有研究证实，中毒引起的抽搐是由于激活N-甲基-D-天冬氨酸（NMDA）受体触发，同时，草铵膦还能通过氧化应激产生毒性效应。此外，也有研究认为草铵膦除草剂中所含表面活性剂具有心血管毒性，因此，草铵膦中毒引发中枢神经症状的具体机制值得深入研究。</w:t>
      </w:r>
    </w:p>
    <w:p w14:paraId="4F943AA0">
      <w:pPr>
        <w:spacing w:before="156" w:beforeLines="50" w:line="500" w:lineRule="exact"/>
        <w:ind w:firstLine="640" w:firstLineChars="200"/>
        <w:rPr>
          <w:rFonts w:eastAsia="黑体"/>
          <w:color w:val="auto"/>
          <w:sz w:val="32"/>
          <w:szCs w:val="32"/>
        </w:rPr>
      </w:pPr>
      <w:r>
        <w:rPr>
          <w:rFonts w:hint="eastAsia" w:eastAsia="黑体"/>
          <w:color w:val="auto"/>
          <w:sz w:val="32"/>
          <w:szCs w:val="32"/>
          <w:lang w:val="en-US" w:eastAsia="zh-CN"/>
        </w:rPr>
        <w:t>4、</w:t>
      </w:r>
      <w:r>
        <w:rPr>
          <w:rFonts w:eastAsia="黑体"/>
          <w:color w:val="auto"/>
          <w:sz w:val="32"/>
          <w:szCs w:val="32"/>
        </w:rPr>
        <w:t>空气中的存在状态及采用测定方法的理由</w:t>
      </w:r>
    </w:p>
    <w:p w14:paraId="67A4A581">
      <w:pPr>
        <w:spacing w:line="460" w:lineRule="exact"/>
        <w:ind w:firstLine="560" w:firstLineChars="200"/>
        <w:rPr>
          <w:rFonts w:eastAsia="仿宋"/>
          <w:color w:val="auto"/>
          <w:sz w:val="28"/>
          <w:szCs w:val="28"/>
        </w:rPr>
      </w:pPr>
      <w:r>
        <w:rPr>
          <w:rFonts w:eastAsia="仿宋"/>
          <w:color w:val="auto"/>
          <w:sz w:val="28"/>
          <w:szCs w:val="28"/>
        </w:rPr>
        <w:t>草铵膦作为一种广泛使用的除草剂</w:t>
      </w:r>
      <w:r>
        <w:rPr>
          <w:rFonts w:hint="eastAsia" w:eastAsia="仿宋"/>
          <w:color w:val="auto"/>
          <w:sz w:val="28"/>
          <w:szCs w:val="28"/>
        </w:rPr>
        <w:t>，</w:t>
      </w:r>
      <w:r>
        <w:rPr>
          <w:rFonts w:eastAsia="仿宋"/>
          <w:color w:val="auto"/>
          <w:sz w:val="28"/>
          <w:szCs w:val="28"/>
        </w:rPr>
        <w:t>在生产过程中会持续地释放至外界环境中，并渗入大气、土壤和水体中。作业环境空气中的草铵膦与空气中的粉尘颗粒紧密结合，以气溶胶状态存在，经口、呼吸道进入人体。在草铵膦生产和使用过程中</w:t>
      </w:r>
      <w:r>
        <w:rPr>
          <w:rFonts w:hint="eastAsia" w:eastAsia="仿宋"/>
          <w:color w:val="auto"/>
          <w:sz w:val="28"/>
          <w:szCs w:val="28"/>
        </w:rPr>
        <w:t>，</w:t>
      </w:r>
      <w:r>
        <w:rPr>
          <w:rFonts w:eastAsia="仿宋"/>
          <w:color w:val="auto"/>
          <w:sz w:val="28"/>
          <w:szCs w:val="28"/>
        </w:rPr>
        <w:t>职业接触</w:t>
      </w:r>
      <w:r>
        <w:rPr>
          <w:rFonts w:hint="eastAsia" w:eastAsia="仿宋"/>
          <w:color w:val="auto"/>
          <w:sz w:val="28"/>
          <w:szCs w:val="28"/>
        </w:rPr>
        <w:t>是不可避免的</w:t>
      </w:r>
      <w:r>
        <w:rPr>
          <w:rFonts w:eastAsia="仿宋"/>
          <w:color w:val="auto"/>
          <w:sz w:val="28"/>
          <w:szCs w:val="28"/>
        </w:rPr>
        <w:t>。在原药生产、包装、搬运、制剂配制等过程中，工人主要</w:t>
      </w:r>
      <w:r>
        <w:rPr>
          <w:rFonts w:hint="eastAsia" w:eastAsia="仿宋"/>
          <w:color w:val="auto"/>
          <w:sz w:val="28"/>
          <w:szCs w:val="28"/>
        </w:rPr>
        <w:t>通过</w:t>
      </w:r>
      <w:r>
        <w:rPr>
          <w:rFonts w:eastAsia="仿宋"/>
          <w:color w:val="auto"/>
          <w:sz w:val="28"/>
          <w:szCs w:val="28"/>
        </w:rPr>
        <w:t>呼吸道吸入产生的草铵膦，在稀释和田间喷洒</w:t>
      </w:r>
      <w:r>
        <w:rPr>
          <w:rFonts w:hint="eastAsia" w:eastAsia="仿宋"/>
          <w:color w:val="auto"/>
          <w:sz w:val="28"/>
          <w:szCs w:val="28"/>
        </w:rPr>
        <w:t>作业</w:t>
      </w:r>
      <w:r>
        <w:rPr>
          <w:rFonts w:eastAsia="仿宋"/>
          <w:color w:val="auto"/>
          <w:sz w:val="28"/>
          <w:szCs w:val="28"/>
        </w:rPr>
        <w:t>过程中</w:t>
      </w:r>
      <w:r>
        <w:rPr>
          <w:rFonts w:hint="eastAsia" w:eastAsia="仿宋"/>
          <w:color w:val="auto"/>
          <w:sz w:val="28"/>
          <w:szCs w:val="28"/>
        </w:rPr>
        <w:t>，</w:t>
      </w:r>
      <w:r>
        <w:rPr>
          <w:rFonts w:eastAsia="仿宋"/>
          <w:color w:val="auto"/>
          <w:sz w:val="28"/>
          <w:szCs w:val="28"/>
        </w:rPr>
        <w:t>可吸入草铵膦气溶胶</w:t>
      </w:r>
      <w:r>
        <w:rPr>
          <w:rFonts w:hint="eastAsia" w:eastAsia="仿宋"/>
          <w:color w:val="auto"/>
          <w:sz w:val="28"/>
          <w:szCs w:val="28"/>
        </w:rPr>
        <w:t>。因此，</w:t>
      </w:r>
      <w:r>
        <w:rPr>
          <w:rFonts w:eastAsia="仿宋"/>
          <w:color w:val="auto"/>
          <w:sz w:val="28"/>
          <w:szCs w:val="28"/>
        </w:rPr>
        <w:t>在这些工作</w:t>
      </w:r>
      <w:r>
        <w:rPr>
          <w:rFonts w:hint="eastAsia" w:eastAsia="仿宋"/>
          <w:color w:val="auto"/>
          <w:sz w:val="28"/>
          <w:szCs w:val="28"/>
        </w:rPr>
        <w:t>环节</w:t>
      </w:r>
      <w:r>
        <w:rPr>
          <w:rFonts w:eastAsia="仿宋"/>
          <w:color w:val="auto"/>
          <w:sz w:val="28"/>
          <w:szCs w:val="28"/>
        </w:rPr>
        <w:t>中，如果皮肤防护</w:t>
      </w:r>
      <w:r>
        <w:rPr>
          <w:rFonts w:hint="eastAsia" w:eastAsia="仿宋"/>
          <w:color w:val="auto"/>
          <w:sz w:val="28"/>
          <w:szCs w:val="28"/>
        </w:rPr>
        <w:t>措施不当</w:t>
      </w:r>
      <w:r>
        <w:rPr>
          <w:rFonts w:eastAsia="仿宋"/>
          <w:color w:val="auto"/>
          <w:sz w:val="28"/>
          <w:szCs w:val="28"/>
        </w:rPr>
        <w:t>，可经皮肤吸收一定量的草铵膦。工作过程中经口摄入草铵膦可忽略。日常生活中经口可摄入残留在食品中的草铵膦。</w:t>
      </w:r>
    </w:p>
    <w:p w14:paraId="793B46CB">
      <w:pPr>
        <w:spacing w:line="460" w:lineRule="exact"/>
        <w:ind w:firstLine="560" w:firstLineChars="200"/>
        <w:rPr>
          <w:rFonts w:eastAsia="仿宋"/>
          <w:color w:val="auto"/>
          <w:sz w:val="28"/>
          <w:szCs w:val="28"/>
        </w:rPr>
      </w:pPr>
      <w:r>
        <w:rPr>
          <w:rFonts w:eastAsia="仿宋"/>
          <w:color w:val="auto"/>
          <w:sz w:val="28"/>
          <w:szCs w:val="28"/>
        </w:rPr>
        <w:t>草铵膦</w:t>
      </w:r>
      <w:r>
        <w:rPr>
          <w:rFonts w:hint="eastAsia" w:eastAsia="仿宋"/>
          <w:color w:val="auto"/>
          <w:sz w:val="28"/>
          <w:szCs w:val="28"/>
          <w:lang w:val="en-US" w:eastAsia="zh-CN"/>
        </w:rPr>
        <w:t>为小分子化合物，是</w:t>
      </w:r>
      <w:r>
        <w:rPr>
          <w:rFonts w:eastAsia="仿宋"/>
          <w:color w:val="auto"/>
          <w:sz w:val="28"/>
          <w:szCs w:val="28"/>
        </w:rPr>
        <w:t>一种极性较强</w:t>
      </w:r>
      <w:r>
        <w:rPr>
          <w:rFonts w:hint="eastAsia" w:eastAsia="仿宋"/>
          <w:color w:val="auto"/>
          <w:sz w:val="28"/>
          <w:szCs w:val="28"/>
          <w:lang w:eastAsia="zh-CN"/>
        </w:rPr>
        <w:t>、</w:t>
      </w:r>
      <w:r>
        <w:rPr>
          <w:rFonts w:hint="eastAsia" w:eastAsia="仿宋"/>
          <w:color w:val="auto"/>
          <w:sz w:val="28"/>
          <w:szCs w:val="28"/>
          <w:lang w:val="en-US" w:eastAsia="zh-CN"/>
        </w:rPr>
        <w:t>低挥发性及离子性</w:t>
      </w:r>
      <w:r>
        <w:rPr>
          <w:rFonts w:eastAsia="仿宋"/>
          <w:color w:val="auto"/>
          <w:sz w:val="28"/>
          <w:szCs w:val="28"/>
        </w:rPr>
        <w:t>的有机物，且缺少荧光及发色基团，常规的定性和定量分析方法对草铵膦检测难度较大。现有的草铵膦测定方法以液相色谱法、液相色谱-串联质谱法及离子色谱法为主，多采用衍生化法</w:t>
      </w:r>
      <w:r>
        <w:rPr>
          <w:rFonts w:hint="eastAsia" w:eastAsia="仿宋"/>
          <w:color w:val="auto"/>
          <w:sz w:val="28"/>
          <w:szCs w:val="28"/>
          <w:lang w:val="en-US" w:eastAsia="zh-CN"/>
        </w:rPr>
        <w:t>将其转化为极性的含有特征官能团的化合物</w:t>
      </w:r>
      <w:r>
        <w:rPr>
          <w:rFonts w:eastAsia="仿宋"/>
          <w:color w:val="auto"/>
          <w:sz w:val="28"/>
          <w:szCs w:val="28"/>
        </w:rPr>
        <w:t>进行样品前处理，与非衍生化相比，衍生化方法存在操作复杂、反应时间较长、重复性差等缺点</w:t>
      </w:r>
      <w:r>
        <w:rPr>
          <w:rFonts w:hint="eastAsia" w:eastAsia="仿宋"/>
          <w:color w:val="auto"/>
          <w:sz w:val="28"/>
          <w:szCs w:val="28"/>
        </w:rPr>
        <w:t>。</w:t>
      </w:r>
      <w:r>
        <w:rPr>
          <w:rFonts w:hint="eastAsia" w:eastAsia="仿宋"/>
          <w:color w:val="auto"/>
          <w:sz w:val="28"/>
          <w:szCs w:val="28"/>
          <w:lang w:val="en-US" w:eastAsia="zh-CN"/>
        </w:rPr>
        <w:t>针对草铵膦易溶于水，在水中解离呈阴离子状态的特点，</w:t>
      </w:r>
      <w:r>
        <w:rPr>
          <w:rFonts w:eastAsia="仿宋"/>
          <w:color w:val="auto"/>
          <w:sz w:val="28"/>
          <w:szCs w:val="28"/>
        </w:rPr>
        <w:t>为了准确测量空气中草铵膦的浓度，本研究采用玻璃纤维滤</w:t>
      </w:r>
      <w:r>
        <w:rPr>
          <w:rFonts w:hint="eastAsia" w:eastAsia="仿宋"/>
          <w:color w:val="auto"/>
          <w:sz w:val="28"/>
          <w:szCs w:val="28"/>
        </w:rPr>
        <w:t>纸</w:t>
      </w:r>
      <w:r>
        <w:rPr>
          <w:rFonts w:eastAsia="仿宋"/>
          <w:color w:val="auto"/>
          <w:sz w:val="28"/>
          <w:szCs w:val="28"/>
        </w:rPr>
        <w:t>对空气样本进行</w:t>
      </w:r>
      <w:r>
        <w:rPr>
          <w:rFonts w:hint="eastAsia" w:eastAsia="仿宋"/>
          <w:color w:val="auto"/>
          <w:sz w:val="28"/>
          <w:szCs w:val="28"/>
        </w:rPr>
        <w:t>采集，建立离子色谱法-电导检测器测定工作场所空气中草铵膦的含量。</w:t>
      </w:r>
    </w:p>
    <w:p w14:paraId="205A2A21">
      <w:pPr>
        <w:numPr>
          <w:ilvl w:val="0"/>
          <w:numId w:val="9"/>
        </w:numPr>
        <w:spacing w:line="500" w:lineRule="exact"/>
        <w:ind w:firstLine="640" w:firstLineChars="200"/>
        <w:rPr>
          <w:rFonts w:hint="default" w:eastAsia="黑体"/>
          <w:color w:val="auto"/>
          <w:sz w:val="32"/>
          <w:szCs w:val="32"/>
          <w:lang w:val="en-US" w:eastAsia="zh-CN"/>
        </w:rPr>
      </w:pPr>
      <w:r>
        <w:rPr>
          <w:rFonts w:hint="eastAsia" w:eastAsia="黑体"/>
          <w:color w:val="auto"/>
          <w:sz w:val="32"/>
          <w:szCs w:val="32"/>
          <w:lang w:val="en-US" w:eastAsia="zh-CN"/>
        </w:rPr>
        <w:t>现场采样与实验室检测</w:t>
      </w:r>
    </w:p>
    <w:p w14:paraId="3682E1BA">
      <w:pPr>
        <w:shd w:val="clear" w:color="auto" w:fill="FFFFFF"/>
        <w:spacing w:line="460" w:lineRule="exact"/>
        <w:ind w:firstLine="560" w:firstLineChars="200"/>
        <w:rPr>
          <w:rFonts w:hint="default"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t>5.1仪器与设备</w:t>
      </w:r>
    </w:p>
    <w:p w14:paraId="1CB76E77">
      <w:pPr>
        <w:autoSpaceDE w:val="0"/>
        <w:autoSpaceDN w:val="0"/>
        <w:snapToGrid w:val="0"/>
        <w:spacing w:line="460" w:lineRule="exact"/>
        <w:ind w:firstLine="560" w:firstLineChars="200"/>
        <w:textAlignment w:val="bottom"/>
        <w:rPr>
          <w:rFonts w:hint="eastAsia" w:ascii="Times New Roman" w:hAnsi="Times New Roman" w:eastAsia="仿宋" w:cs="Times New Roman"/>
          <w:snapToGrid w:val="0"/>
          <w:color w:val="auto"/>
          <w:sz w:val="28"/>
          <w:szCs w:val="28"/>
          <w:lang w:val="en-US" w:eastAsia="zh-CN"/>
        </w:rPr>
      </w:pPr>
      <w:r>
        <w:rPr>
          <w:rFonts w:eastAsia="仿宋"/>
          <w:color w:val="auto"/>
          <w:sz w:val="28"/>
          <w:szCs w:val="28"/>
        </w:rPr>
        <w:t>大气采样器</w:t>
      </w:r>
      <w:r>
        <w:rPr>
          <w:rFonts w:hint="eastAsia" w:eastAsia="仿宋"/>
          <w:color w:val="auto"/>
          <w:sz w:val="28"/>
          <w:szCs w:val="28"/>
          <w:lang w:eastAsia="zh-CN"/>
        </w:rPr>
        <w:t>：FCC-1500D，</w:t>
      </w:r>
      <w:r>
        <w:rPr>
          <w:rFonts w:hint="eastAsia" w:eastAsia="仿宋"/>
          <w:color w:val="auto"/>
          <w:sz w:val="28"/>
          <w:szCs w:val="28"/>
          <w:lang w:val="en-US" w:eastAsia="zh-CN"/>
        </w:rPr>
        <w:t>江苏</w:t>
      </w:r>
      <w:r>
        <w:rPr>
          <w:rFonts w:hint="eastAsia" w:eastAsia="仿宋"/>
          <w:color w:val="auto"/>
          <w:sz w:val="28"/>
          <w:szCs w:val="28"/>
          <w:lang w:eastAsia="zh-CN"/>
        </w:rPr>
        <w:t>盐城；</w:t>
      </w:r>
      <w:r>
        <w:rPr>
          <w:rFonts w:hint="eastAsia" w:ascii="Times New Roman" w:hAnsi="Times New Roman" w:eastAsia="仿宋" w:cs="Times New Roman"/>
          <w:snapToGrid w:val="0"/>
          <w:color w:val="auto"/>
          <w:sz w:val="28"/>
          <w:szCs w:val="28"/>
          <w:lang w:val="en-US" w:eastAsia="zh-CN"/>
        </w:rPr>
        <w:t>离子</w:t>
      </w:r>
      <w:r>
        <w:rPr>
          <w:rFonts w:hint="default" w:ascii="Times New Roman" w:hAnsi="Times New Roman" w:eastAsia="仿宋" w:cs="Times New Roman"/>
          <w:snapToGrid w:val="0"/>
          <w:color w:val="auto"/>
          <w:sz w:val="28"/>
          <w:szCs w:val="28"/>
          <w:lang w:val="zh-CN" w:eastAsia="zh-CN"/>
        </w:rPr>
        <w:t>色谱仪</w:t>
      </w:r>
      <w:r>
        <w:rPr>
          <w:rFonts w:hint="eastAsia" w:ascii="Times New Roman" w:hAnsi="Times New Roman" w:eastAsia="仿宋" w:cs="Times New Roman"/>
          <w:snapToGrid w:val="0"/>
          <w:color w:val="auto"/>
          <w:sz w:val="28"/>
          <w:szCs w:val="28"/>
          <w:lang w:val="zh-CN" w:eastAsia="zh-CN"/>
        </w:rPr>
        <w:t>：</w:t>
      </w:r>
      <w:r>
        <w:rPr>
          <w:rFonts w:hint="eastAsia" w:ascii="Times New Roman" w:hAnsi="Times New Roman" w:eastAsia="仿宋" w:cs="Times New Roman"/>
          <w:snapToGrid w:val="0"/>
          <w:color w:val="auto"/>
          <w:sz w:val="28"/>
          <w:szCs w:val="28"/>
          <w:lang w:val="en-US" w:eastAsia="zh-CN"/>
        </w:rPr>
        <w:t>电导</w:t>
      </w:r>
      <w:r>
        <w:rPr>
          <w:rFonts w:hint="default" w:ascii="Times New Roman" w:hAnsi="Times New Roman" w:eastAsia="仿宋" w:cs="Times New Roman"/>
          <w:snapToGrid w:val="0"/>
          <w:color w:val="auto"/>
          <w:sz w:val="28"/>
          <w:szCs w:val="28"/>
          <w:lang w:val="en-US" w:eastAsia="zh-CN"/>
        </w:rPr>
        <w:t>检测器；Metrosep A Supp 5-150/4.0色谱柱(150 mm×4.0 mm×5 μm)，Metrosep A Supp 5 Guard 型保护柱(5 mm×4 mm×4.6 μm)</w:t>
      </w:r>
      <w:r>
        <w:rPr>
          <w:rFonts w:hint="eastAsia" w:ascii="Times New Roman" w:hAnsi="Times New Roman" w:eastAsia="仿宋" w:cs="Times New Roman"/>
          <w:snapToGrid w:val="0"/>
          <w:color w:val="auto"/>
          <w:sz w:val="28"/>
          <w:szCs w:val="28"/>
          <w:lang w:val="en-US" w:eastAsia="zh-CN"/>
        </w:rPr>
        <w:t>；</w:t>
      </w:r>
    </w:p>
    <w:p w14:paraId="7AC9E5CF">
      <w:pPr>
        <w:autoSpaceDE w:val="0"/>
        <w:autoSpaceDN w:val="0"/>
        <w:snapToGrid w:val="0"/>
        <w:spacing w:line="460" w:lineRule="exact"/>
        <w:ind w:firstLine="560" w:firstLineChars="200"/>
        <w:textAlignment w:val="bottom"/>
        <w:rPr>
          <w:rFonts w:hint="default" w:ascii="Times New Roman" w:hAnsi="Times New Roman" w:eastAsia="仿宋" w:cs="Times New Roman"/>
          <w:snapToGrid w:val="0"/>
          <w:color w:val="auto"/>
          <w:sz w:val="28"/>
          <w:szCs w:val="28"/>
          <w:lang w:val="en-US" w:eastAsia="zh-CN"/>
        </w:rPr>
      </w:pPr>
      <w:r>
        <w:rPr>
          <w:rFonts w:hint="eastAsia" w:ascii="Times New Roman" w:hAnsi="Times New Roman" w:eastAsia="仿宋" w:cs="Times New Roman"/>
          <w:snapToGrid w:val="0"/>
          <w:color w:val="auto"/>
          <w:sz w:val="28"/>
          <w:szCs w:val="28"/>
          <w:lang w:val="en-US" w:eastAsia="zh-CN"/>
        </w:rPr>
        <w:t>电子天平、超声波清洗机、涡旋混合器、</w:t>
      </w:r>
      <w:r>
        <w:rPr>
          <w:rFonts w:hint="default" w:ascii="Times New Roman" w:hAnsi="Times New Roman" w:eastAsia="仿宋" w:cs="Times New Roman"/>
          <w:snapToGrid w:val="0"/>
          <w:color w:val="auto"/>
          <w:sz w:val="28"/>
          <w:szCs w:val="28"/>
          <w:lang w:val="en-US" w:eastAsia="zh-CN"/>
        </w:rPr>
        <w:t>微量注射器</w:t>
      </w:r>
      <w:r>
        <w:rPr>
          <w:rFonts w:hint="eastAsia" w:ascii="Times New Roman" w:hAnsi="Times New Roman" w:eastAsia="仿宋" w:cs="Times New Roman"/>
          <w:snapToGrid w:val="0"/>
          <w:color w:val="auto"/>
          <w:sz w:val="28"/>
          <w:szCs w:val="28"/>
          <w:lang w:val="en-US" w:eastAsia="zh-CN"/>
        </w:rPr>
        <w:t>（</w:t>
      </w:r>
      <w:r>
        <w:rPr>
          <w:rFonts w:hint="eastAsia" w:eastAsia="仿宋" w:cs="Times New Roman"/>
          <w:snapToGrid w:val="0"/>
          <w:color w:val="auto"/>
          <w:sz w:val="28"/>
          <w:szCs w:val="28"/>
          <w:lang w:val="en-US" w:eastAsia="zh-CN"/>
        </w:rPr>
        <w:t>5</w:t>
      </w:r>
      <w:r>
        <w:rPr>
          <w:rFonts w:hint="default" w:ascii="Times New Roman" w:hAnsi="Times New Roman" w:eastAsia="仿宋" w:cs="Times New Roman"/>
          <w:snapToGrid w:val="0"/>
          <w:color w:val="auto"/>
          <w:sz w:val="28"/>
          <w:szCs w:val="28"/>
          <w:lang w:val="en-US" w:eastAsia="zh-CN"/>
        </w:rPr>
        <w:t>0</w:t>
      </w:r>
      <w:r>
        <w:rPr>
          <w:rFonts w:hint="eastAsia" w:ascii="Times New Roman" w:hAnsi="Times New Roman" w:eastAsia="仿宋" w:cs="Times New Roman"/>
          <w:snapToGrid w:val="0"/>
          <w:color w:val="auto"/>
          <w:sz w:val="28"/>
          <w:szCs w:val="28"/>
          <w:lang w:val="en-US" w:eastAsia="zh-CN"/>
        </w:rPr>
        <w:t xml:space="preserve"> </w:t>
      </w:r>
      <w:r>
        <w:rPr>
          <w:rFonts w:hint="default" w:ascii="Times New Roman" w:hAnsi="Times New Roman" w:eastAsia="仿宋" w:cs="Times New Roman"/>
          <w:snapToGrid w:val="0"/>
          <w:color w:val="auto"/>
          <w:sz w:val="28"/>
          <w:szCs w:val="28"/>
          <w:lang w:val="en-US" w:eastAsia="zh-CN"/>
        </w:rPr>
        <w:t>μL</w:t>
      </w:r>
      <w:r>
        <w:rPr>
          <w:rFonts w:hint="eastAsia" w:ascii="Times New Roman" w:hAnsi="Times New Roman" w:eastAsia="仿宋" w:cs="Times New Roman"/>
          <w:snapToGrid w:val="0"/>
          <w:color w:val="auto"/>
          <w:sz w:val="28"/>
          <w:szCs w:val="28"/>
          <w:lang w:val="en-US" w:eastAsia="zh-CN"/>
        </w:rPr>
        <w:t>）</w:t>
      </w:r>
      <w:r>
        <w:rPr>
          <w:rFonts w:hint="default" w:ascii="Times New Roman" w:hAnsi="Times New Roman" w:eastAsia="仿宋" w:cs="Times New Roman"/>
          <w:snapToGrid w:val="0"/>
          <w:color w:val="auto"/>
          <w:sz w:val="28"/>
          <w:szCs w:val="28"/>
          <w:lang w:val="en-US" w:eastAsia="zh-CN"/>
        </w:rPr>
        <w:t>、具塞比色管（10</w:t>
      </w:r>
      <w:r>
        <w:rPr>
          <w:rFonts w:hint="eastAsia" w:ascii="Times New Roman" w:hAnsi="Times New Roman" w:eastAsia="仿宋" w:cs="Times New Roman"/>
          <w:snapToGrid w:val="0"/>
          <w:color w:val="auto"/>
          <w:sz w:val="28"/>
          <w:szCs w:val="28"/>
          <w:lang w:val="en-US" w:eastAsia="zh-CN"/>
        </w:rPr>
        <w:t xml:space="preserve"> </w:t>
      </w:r>
      <w:r>
        <w:rPr>
          <w:rFonts w:hint="default" w:ascii="Times New Roman" w:hAnsi="Times New Roman" w:eastAsia="仿宋" w:cs="Times New Roman"/>
          <w:snapToGrid w:val="0"/>
          <w:color w:val="auto"/>
          <w:sz w:val="28"/>
          <w:szCs w:val="28"/>
          <w:lang w:val="en-US" w:eastAsia="zh-CN"/>
        </w:rPr>
        <w:t>m</w:t>
      </w:r>
      <w:r>
        <w:rPr>
          <w:rFonts w:hint="eastAsia" w:ascii="Times New Roman" w:hAnsi="Times New Roman" w:eastAsia="仿宋" w:cs="Times New Roman"/>
          <w:snapToGrid w:val="0"/>
          <w:color w:val="auto"/>
          <w:sz w:val="28"/>
          <w:szCs w:val="28"/>
          <w:lang w:val="en-US" w:eastAsia="zh-CN"/>
        </w:rPr>
        <w:t>L</w:t>
      </w:r>
      <w:r>
        <w:rPr>
          <w:rFonts w:hint="default" w:ascii="Times New Roman" w:hAnsi="Times New Roman" w:eastAsia="仿宋" w:cs="Times New Roman"/>
          <w:snapToGrid w:val="0"/>
          <w:color w:val="auto"/>
          <w:sz w:val="28"/>
          <w:szCs w:val="28"/>
          <w:lang w:val="en-US" w:eastAsia="zh-CN"/>
        </w:rPr>
        <w:t>）。</w:t>
      </w:r>
    </w:p>
    <w:p w14:paraId="6EC4823F">
      <w:pPr>
        <w:autoSpaceDE w:val="0"/>
        <w:autoSpaceDN w:val="0"/>
        <w:snapToGrid w:val="0"/>
        <w:spacing w:line="460" w:lineRule="exact"/>
        <w:ind w:firstLine="560" w:firstLineChars="200"/>
        <w:textAlignment w:val="bottom"/>
        <w:rPr>
          <w:rFonts w:hint="eastAsia" w:ascii="Times New Roman" w:hAnsi="Times New Roman" w:eastAsia="仿宋" w:cs="Times New Roman"/>
          <w:snapToGrid w:val="0"/>
          <w:color w:val="auto"/>
          <w:sz w:val="28"/>
          <w:szCs w:val="28"/>
          <w:lang w:val="en-US" w:eastAsia="zh-CN"/>
        </w:rPr>
      </w:pPr>
      <w:r>
        <w:rPr>
          <w:rFonts w:hint="eastAsia" w:ascii="Times New Roman" w:hAnsi="Times New Roman" w:eastAsia="仿宋" w:cs="Times New Roman"/>
          <w:snapToGrid w:val="0"/>
          <w:color w:val="auto"/>
          <w:sz w:val="28"/>
          <w:szCs w:val="28"/>
          <w:lang w:val="en-US" w:eastAsia="zh-CN"/>
        </w:rPr>
        <w:t>实验用水为Millipore超纯水；其余试剂均为市售优级纯；草铵膦纯度大于98 %。</w:t>
      </w:r>
    </w:p>
    <w:p w14:paraId="5B675D9A">
      <w:pPr>
        <w:shd w:val="clear" w:color="auto" w:fill="FFFFFF"/>
        <w:spacing w:line="460" w:lineRule="exact"/>
        <w:ind w:firstLine="560" w:firstLineChars="200"/>
        <w:rPr>
          <w:rFonts w:hint="default"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t>5.2仪器条件</w:t>
      </w:r>
    </w:p>
    <w:p w14:paraId="1FA03E52">
      <w:pPr>
        <w:autoSpaceDE w:val="0"/>
        <w:autoSpaceDN w:val="0"/>
        <w:snapToGrid w:val="0"/>
        <w:spacing w:line="460" w:lineRule="exact"/>
        <w:ind w:firstLine="560" w:firstLineChars="200"/>
        <w:textAlignment w:val="bottom"/>
        <w:rPr>
          <w:rFonts w:eastAsia="仿宋"/>
          <w:snapToGrid w:val="0"/>
          <w:color w:val="auto"/>
          <w:sz w:val="28"/>
          <w:szCs w:val="28"/>
        </w:rPr>
      </w:pPr>
      <w:r>
        <w:rPr>
          <w:rFonts w:eastAsia="仿宋"/>
          <w:snapToGrid w:val="0"/>
          <w:color w:val="auto"/>
          <w:sz w:val="28"/>
          <w:szCs w:val="28"/>
        </w:rPr>
        <w:t>测定条件：柱温</w:t>
      </w:r>
      <w:r>
        <w:rPr>
          <w:rFonts w:hint="eastAsia" w:eastAsia="仿宋"/>
          <w:snapToGrid w:val="0"/>
          <w:color w:val="auto"/>
          <w:sz w:val="28"/>
          <w:szCs w:val="28"/>
        </w:rPr>
        <w:t>为</w:t>
      </w:r>
      <w:r>
        <w:rPr>
          <w:rFonts w:eastAsia="仿宋"/>
          <w:snapToGrid w:val="0"/>
          <w:color w:val="auto"/>
          <w:sz w:val="28"/>
          <w:szCs w:val="28"/>
        </w:rPr>
        <w:t>35℃；</w:t>
      </w:r>
      <w:r>
        <w:rPr>
          <w:rFonts w:hint="eastAsia" w:eastAsia="仿宋"/>
          <w:snapToGrid w:val="0"/>
          <w:color w:val="auto"/>
          <w:sz w:val="28"/>
          <w:szCs w:val="28"/>
        </w:rPr>
        <w:t>流动相为</w:t>
      </w:r>
      <w:r>
        <w:rPr>
          <w:rFonts w:eastAsia="仿宋"/>
          <w:snapToGrid w:val="0"/>
          <w:color w:val="auto"/>
          <w:sz w:val="28"/>
          <w:szCs w:val="28"/>
        </w:rPr>
        <w:t>1.9 mmol/L碳酸钠-0.6 mmol/L碳酸氢钠</w:t>
      </w:r>
      <w:r>
        <w:rPr>
          <w:rFonts w:hint="eastAsia" w:eastAsia="仿宋"/>
          <w:snapToGrid w:val="0"/>
          <w:color w:val="auto"/>
          <w:sz w:val="28"/>
          <w:szCs w:val="28"/>
        </w:rPr>
        <w:t>淋洗液</w:t>
      </w:r>
      <w:r>
        <w:rPr>
          <w:rFonts w:eastAsia="仿宋"/>
          <w:snapToGrid w:val="0"/>
          <w:color w:val="auto"/>
          <w:sz w:val="28"/>
          <w:szCs w:val="28"/>
        </w:rPr>
        <w:t>，流</w:t>
      </w:r>
      <w:r>
        <w:rPr>
          <w:rFonts w:hint="eastAsia" w:eastAsia="仿宋"/>
          <w:snapToGrid w:val="0"/>
          <w:color w:val="auto"/>
          <w:sz w:val="28"/>
          <w:szCs w:val="28"/>
        </w:rPr>
        <w:t>量为</w:t>
      </w:r>
      <w:r>
        <w:rPr>
          <w:rFonts w:eastAsia="仿宋"/>
          <w:snapToGrid w:val="0"/>
          <w:color w:val="auto"/>
          <w:sz w:val="28"/>
          <w:szCs w:val="28"/>
        </w:rPr>
        <w:t>0.7 mL/min，进样</w:t>
      </w:r>
      <w:r>
        <w:rPr>
          <w:rFonts w:hint="eastAsia" w:eastAsia="仿宋"/>
          <w:snapToGrid w:val="0"/>
          <w:color w:val="auto"/>
          <w:sz w:val="28"/>
          <w:szCs w:val="28"/>
        </w:rPr>
        <w:t>体积</w:t>
      </w:r>
      <w:r>
        <w:rPr>
          <w:rFonts w:eastAsia="仿宋"/>
          <w:snapToGrid w:val="0"/>
          <w:color w:val="auto"/>
          <w:sz w:val="28"/>
          <w:szCs w:val="28"/>
        </w:rPr>
        <w:t>100 μL；再生液</w:t>
      </w:r>
      <w:r>
        <w:rPr>
          <w:rFonts w:hint="eastAsia" w:eastAsia="仿宋"/>
          <w:snapToGrid w:val="0"/>
          <w:color w:val="auto"/>
          <w:sz w:val="28"/>
          <w:szCs w:val="28"/>
        </w:rPr>
        <w:t>为100</w:t>
      </w:r>
      <w:r>
        <w:rPr>
          <w:rFonts w:eastAsia="仿宋"/>
          <w:snapToGrid w:val="0"/>
          <w:color w:val="auto"/>
          <w:sz w:val="28"/>
          <w:szCs w:val="28"/>
        </w:rPr>
        <w:t xml:space="preserve"> </w:t>
      </w:r>
      <w:r>
        <w:rPr>
          <w:rFonts w:hint="eastAsia" w:eastAsia="仿宋"/>
          <w:snapToGrid w:val="0"/>
          <w:color w:val="auto"/>
          <w:sz w:val="28"/>
          <w:szCs w:val="28"/>
        </w:rPr>
        <w:t>m</w:t>
      </w:r>
      <w:r>
        <w:rPr>
          <w:rFonts w:eastAsia="仿宋"/>
          <w:snapToGrid w:val="0"/>
          <w:color w:val="auto"/>
          <w:sz w:val="28"/>
          <w:szCs w:val="28"/>
        </w:rPr>
        <w:t>mol/L磷酸溶液。</w:t>
      </w:r>
    </w:p>
    <w:p w14:paraId="20A21D80">
      <w:pPr>
        <w:autoSpaceDE w:val="0"/>
        <w:autoSpaceDN w:val="0"/>
        <w:snapToGrid w:val="0"/>
        <w:spacing w:line="460" w:lineRule="exact"/>
        <w:ind w:firstLine="560" w:firstLineChars="200"/>
        <w:textAlignment w:val="bottom"/>
        <w:rPr>
          <w:rFonts w:hint="default" w:eastAsia="仿宋"/>
          <w:snapToGrid w:val="0"/>
          <w:color w:val="auto"/>
          <w:sz w:val="28"/>
          <w:szCs w:val="28"/>
          <w:lang w:val="en-US" w:eastAsia="zh-CN"/>
        </w:rPr>
      </w:pPr>
      <w:r>
        <w:rPr>
          <w:rFonts w:hint="eastAsia" w:eastAsia="仿宋"/>
          <w:snapToGrid w:val="0"/>
          <w:color w:val="auto"/>
          <w:sz w:val="28"/>
          <w:szCs w:val="28"/>
          <w:lang w:val="en-US" w:eastAsia="zh-CN"/>
        </w:rPr>
        <w:t>采用离子色谱法测定工作场所中草铵膦，通过合理的样品采集、预处理及数据分析，可获得准确可靠的测定结果，具有良好的线性关系、准确度及精密度，方法的各项指标均符合GBZ/T 210.4-2008《职业卫生标准制定指南第4部分：工作场所空气中化学物质测定方法》的要求，对于加强草铵膦的监测和控制、保障工人健康和环境安全具有一定意义。</w:t>
      </w:r>
    </w:p>
    <w:p w14:paraId="799B960F">
      <w:pPr>
        <w:autoSpaceDE w:val="0"/>
        <w:autoSpaceDN w:val="0"/>
        <w:adjustRightInd w:val="0"/>
        <w:snapToGrid w:val="0"/>
        <w:spacing w:before="156" w:beforeLines="50" w:line="500" w:lineRule="exact"/>
        <w:ind w:firstLine="640" w:firstLineChars="200"/>
        <w:jc w:val="left"/>
        <w:textAlignment w:val="bottom"/>
        <w:rPr>
          <w:rFonts w:eastAsia="黑体"/>
          <w:color w:val="auto"/>
          <w:sz w:val="32"/>
          <w:szCs w:val="32"/>
        </w:rPr>
      </w:pPr>
      <w:r>
        <w:rPr>
          <w:rFonts w:hint="eastAsia" w:eastAsia="黑体"/>
          <w:color w:val="auto"/>
          <w:sz w:val="32"/>
          <w:szCs w:val="32"/>
          <w:lang w:val="en-US" w:eastAsia="zh-CN"/>
        </w:rPr>
        <w:t>6、</w:t>
      </w:r>
      <w:r>
        <w:rPr>
          <w:rFonts w:eastAsia="黑体"/>
          <w:color w:val="auto"/>
          <w:sz w:val="32"/>
          <w:szCs w:val="32"/>
        </w:rPr>
        <w:t>色谱条件的选择</w:t>
      </w:r>
    </w:p>
    <w:p w14:paraId="59B74CEA">
      <w:pPr>
        <w:shd w:val="clear" w:color="auto" w:fill="FFFFFF"/>
        <w:spacing w:line="460" w:lineRule="exact"/>
        <w:ind w:firstLine="560" w:firstLineChars="200"/>
        <w:rPr>
          <w:rFonts w:hint="default"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t>6.1</w:t>
      </w:r>
      <w:r>
        <w:rPr>
          <w:rFonts w:hint="default" w:ascii="Times New Roman" w:hAnsi="Times New Roman" w:eastAsia="黑体" w:cs="Times New Roman"/>
          <w:color w:val="auto"/>
          <w:sz w:val="28"/>
          <w:szCs w:val="28"/>
          <w:lang w:val="en-US" w:eastAsia="zh-CN"/>
        </w:rPr>
        <w:t>色谱</w:t>
      </w:r>
      <w:r>
        <w:rPr>
          <w:rFonts w:hint="eastAsia" w:ascii="Times New Roman" w:hAnsi="Times New Roman" w:eastAsia="黑体" w:cs="Times New Roman"/>
          <w:color w:val="auto"/>
          <w:sz w:val="28"/>
          <w:szCs w:val="28"/>
          <w:lang w:val="en-US" w:eastAsia="zh-CN"/>
        </w:rPr>
        <w:t>条件的优化</w:t>
      </w:r>
    </w:p>
    <w:p w14:paraId="560397A0">
      <w:pPr>
        <w:autoSpaceDE w:val="0"/>
        <w:autoSpaceDN w:val="0"/>
        <w:adjustRightInd w:val="0"/>
        <w:snapToGrid w:val="0"/>
        <w:spacing w:line="460" w:lineRule="exact"/>
        <w:ind w:firstLine="560" w:firstLineChars="200"/>
        <w:textAlignment w:val="bottom"/>
        <w:rPr>
          <w:rFonts w:eastAsia="仿宋"/>
          <w:color w:val="auto"/>
          <w:sz w:val="28"/>
          <w:szCs w:val="28"/>
        </w:rPr>
      </w:pPr>
      <w:r>
        <w:rPr>
          <w:rFonts w:hint="eastAsia" w:eastAsia="仿宋"/>
          <w:color w:val="auto"/>
          <w:sz w:val="28"/>
          <w:szCs w:val="28"/>
        </w:rPr>
        <w:t>选择常见的通用型阴离子交换柱Metrosep A Supp 5-150/4.0、Metrosep A Supp 5-250/4.0进行分离研究，2种色谱柱除柱长不同外，基体材料均为带有季铵基团的聚乙烯醇。由于Metrosep A Supp 5-250色谱柱长度较Metrosep A Supp 5-150长，因此在同一淋洗液条件下，草铵膦出峰时间较晚，60 min内尚未出峰，不利于后期大批量样品的快速分析测定，因此选择短柱Metrosep A Supp 5-150进行后续研究。</w:t>
      </w:r>
    </w:p>
    <w:p w14:paraId="6AC77D6D">
      <w:pPr>
        <w:autoSpaceDE w:val="0"/>
        <w:autoSpaceDN w:val="0"/>
        <w:adjustRightInd w:val="0"/>
        <w:snapToGrid w:val="0"/>
        <w:spacing w:line="460" w:lineRule="exact"/>
        <w:ind w:firstLine="560" w:firstLineChars="200"/>
        <w:textAlignment w:val="bottom"/>
        <w:rPr>
          <w:rFonts w:hint="eastAsia" w:eastAsia="仿宋"/>
          <w:color w:val="auto"/>
          <w:sz w:val="28"/>
          <w:szCs w:val="28"/>
        </w:rPr>
      </w:pPr>
      <w:r>
        <w:rPr>
          <w:rFonts w:hint="eastAsia" w:eastAsia="仿宋"/>
          <w:color w:val="auto"/>
          <w:sz w:val="28"/>
          <w:szCs w:val="28"/>
        </w:rPr>
        <w:t>常用的淋洗液为不同比例配制而成的碳酸钠和碳酸氢钠溶液，通过改变淋洗液的浓度，可以控制阴离子的出峰时间及顺序。实验初期，使用该色谱柱推荐淋洗液浓度3.2 mmol/L碳酸钠-1.0 mmol/L碳酸氢钠溶液对目标物进行等度洗脱，但是发现在该条件下，草铵膦与硝酸盐和硫酸盐色谱峰无法达到有效分离。尝试在淋洗液中加入有机溶剂如乙腈，用以改善峰形和保留时间（比例不超过10%），结果随着乙腈比例的增加，草铵膦色谱峰逐渐变宽，拖尾现象变严重，同时保留时间没有明显改善。最后，降低淋洗液浓度，采用1.92 mmol/L碳酸钠-0.60 mmol/L碳酸氢钠混合溶液作为淋洗液，草铵膦可与氟离子、氯离子、硝酸盐、硫酸盐等常见阴离子实现基线分离。</w:t>
      </w:r>
    </w:p>
    <w:p w14:paraId="60FEE7D4">
      <w:pPr>
        <w:autoSpaceDE w:val="0"/>
        <w:autoSpaceDN w:val="0"/>
        <w:adjustRightInd w:val="0"/>
        <w:snapToGrid w:val="0"/>
        <w:spacing w:line="460" w:lineRule="exact"/>
        <w:ind w:firstLine="560" w:firstLineChars="200"/>
        <w:textAlignment w:val="bottom"/>
        <w:rPr>
          <w:rFonts w:eastAsia="仿宋"/>
          <w:color w:val="auto"/>
          <w:sz w:val="28"/>
          <w:szCs w:val="28"/>
        </w:rPr>
      </w:pPr>
      <w:r>
        <w:rPr>
          <w:rFonts w:hint="eastAsia" w:eastAsia="仿宋"/>
          <w:color w:val="auto"/>
          <w:sz w:val="28"/>
          <w:szCs w:val="28"/>
        </w:rPr>
        <w:t xml:space="preserve">考察淋洗液流速及进样体积对目标物灵敏度及保留时间的影响。色谱柱标准流速为0.7 mL/min，当流速低于0.7 mL/min时，测定时间延长，随着流速的提高，尽管保留时间缩短，但是存在柱压升高，基线波动较大的现象，因此选择本研究选择标准流速0.7 mL/min。同时，随着进样体积的增加，草铵膦的灵敏度逐渐提高，但是其他阴离子峰面积也同比例增加，并且出现拖尾现象，进样体积过大可能会超过柱容量，影响色谱柱使用寿命，因此选择100 </w:t>
      </w:r>
      <w:r>
        <w:rPr>
          <w:rFonts w:eastAsia="仿宋"/>
          <w:color w:val="auto"/>
          <w:sz w:val="28"/>
          <w:szCs w:val="28"/>
        </w:rPr>
        <w:t>μL</w:t>
      </w:r>
      <w:r>
        <w:rPr>
          <w:rFonts w:hint="eastAsia" w:eastAsia="仿宋"/>
          <w:color w:val="auto"/>
          <w:sz w:val="28"/>
          <w:szCs w:val="28"/>
        </w:rPr>
        <w:t>作为最佳进样量。</w:t>
      </w:r>
    </w:p>
    <w:p w14:paraId="6FF29B83">
      <w:pPr>
        <w:autoSpaceDE w:val="0"/>
        <w:autoSpaceDN w:val="0"/>
        <w:adjustRightInd w:val="0"/>
        <w:snapToGrid w:val="0"/>
        <w:spacing w:before="156" w:beforeLines="50" w:line="460" w:lineRule="exact"/>
        <w:ind w:firstLine="560" w:firstLineChars="200"/>
        <w:jc w:val="left"/>
        <w:textAlignment w:val="bottom"/>
        <w:rPr>
          <w:rFonts w:eastAsia="黑体"/>
          <w:color w:val="auto"/>
          <w:sz w:val="28"/>
          <w:szCs w:val="28"/>
        </w:rPr>
      </w:pPr>
      <w:r>
        <w:rPr>
          <w:rFonts w:hint="eastAsia" w:eastAsia="黑体"/>
          <w:color w:val="auto"/>
          <w:sz w:val="28"/>
          <w:szCs w:val="28"/>
          <w:lang w:val="en-US" w:eastAsia="zh-CN"/>
        </w:rPr>
        <w:t>6.</w:t>
      </w:r>
      <w:r>
        <w:rPr>
          <w:rFonts w:hint="eastAsia" w:eastAsia="黑体"/>
          <w:color w:val="auto"/>
          <w:sz w:val="28"/>
          <w:szCs w:val="28"/>
        </w:rPr>
        <w:t>2洗脱溶剂</w:t>
      </w:r>
      <w:r>
        <w:rPr>
          <w:rFonts w:eastAsia="黑体"/>
          <w:color w:val="auto"/>
          <w:sz w:val="28"/>
          <w:szCs w:val="28"/>
        </w:rPr>
        <w:t>的选择</w:t>
      </w:r>
    </w:p>
    <w:p w14:paraId="29483EB4">
      <w:pPr>
        <w:keepNext w:val="0"/>
        <w:keepLines w:val="0"/>
        <w:pageBreakBefore w:val="0"/>
        <w:widowControl w:val="0"/>
        <w:kinsoku/>
        <w:wordWrap/>
        <w:overflowPunct/>
        <w:topLinePunct w:val="0"/>
        <w:autoSpaceDE w:val="0"/>
        <w:autoSpaceDN w:val="0"/>
        <w:bidi w:val="0"/>
        <w:adjustRightInd w:val="0"/>
        <w:snapToGrid w:val="0"/>
        <w:spacing w:line="460" w:lineRule="exact"/>
        <w:ind w:firstLine="560" w:firstLineChars="200"/>
        <w:jc w:val="both"/>
        <w:textAlignment w:val="bottom"/>
        <w:rPr>
          <w:rFonts w:hint="eastAsia" w:eastAsia="仿宋"/>
          <w:color w:val="auto"/>
          <w:sz w:val="28"/>
          <w:szCs w:val="28"/>
          <w:lang w:eastAsia="zh-CN"/>
        </w:rPr>
      </w:pPr>
      <w:r>
        <w:rPr>
          <w:rFonts w:hint="eastAsia" w:eastAsia="仿宋"/>
          <w:color w:val="auto"/>
          <w:sz w:val="28"/>
          <w:szCs w:val="28"/>
        </w:rPr>
        <w:t>比较纯水、</w:t>
      </w:r>
      <w:r>
        <w:rPr>
          <w:rFonts w:eastAsia="仿宋"/>
          <w:snapToGrid w:val="0"/>
          <w:color w:val="auto"/>
          <w:sz w:val="28"/>
          <w:szCs w:val="28"/>
        </w:rPr>
        <w:t>1.9 mmol/L碳酸钠-0.6 mmol/L碳酸氢钠</w:t>
      </w:r>
      <w:r>
        <w:rPr>
          <w:rFonts w:hint="eastAsia" w:eastAsia="仿宋"/>
          <w:snapToGrid w:val="0"/>
          <w:color w:val="auto"/>
          <w:sz w:val="28"/>
          <w:szCs w:val="28"/>
        </w:rPr>
        <w:t>溶液、</w:t>
      </w:r>
      <w:r>
        <w:rPr>
          <w:rFonts w:eastAsia="仿宋"/>
          <w:snapToGrid w:val="0"/>
          <w:color w:val="auto"/>
          <w:sz w:val="28"/>
          <w:szCs w:val="28"/>
        </w:rPr>
        <w:t>1.9 mmol/L碳酸钠-0.6 mmol/L碳酸氢钠</w:t>
      </w:r>
      <w:r>
        <w:rPr>
          <w:rFonts w:hint="eastAsia" w:eastAsia="仿宋"/>
          <w:snapToGrid w:val="0"/>
          <w:color w:val="auto"/>
          <w:sz w:val="28"/>
          <w:szCs w:val="28"/>
        </w:rPr>
        <w:t>溶液（含5%甲醇）等3种溶剂对草铵膦洗脱效率和回收率的影响。</w:t>
      </w:r>
      <w:r>
        <w:rPr>
          <w:rFonts w:hint="eastAsia" w:eastAsia="仿宋"/>
          <w:snapToGrid w:val="0"/>
          <w:color w:val="auto"/>
          <w:sz w:val="28"/>
          <w:szCs w:val="28"/>
          <w:lang w:val="en-US" w:eastAsia="zh-CN"/>
        </w:rPr>
        <w:t>按式</w:t>
      </w:r>
      <w:r>
        <w:rPr>
          <w:rFonts w:hint="default" w:ascii="Times New Roman" w:hAnsi="Times New Roman" w:eastAsia="仿宋" w:cs="Times New Roman"/>
          <w:snapToGrid w:val="0"/>
          <w:color w:val="auto"/>
          <w:sz w:val="28"/>
          <w:szCs w:val="28"/>
          <w:lang w:val="en-US" w:eastAsia="zh-CN"/>
        </w:rPr>
        <w:t>（1）</w:t>
      </w:r>
      <w:r>
        <w:rPr>
          <w:rFonts w:hint="eastAsia" w:ascii="Times New Roman" w:hAnsi="Times New Roman" w:eastAsia="仿宋" w:cs="Times New Roman"/>
          <w:snapToGrid w:val="0"/>
          <w:color w:val="auto"/>
          <w:sz w:val="28"/>
          <w:szCs w:val="28"/>
          <w:lang w:val="en-US" w:eastAsia="zh-CN"/>
        </w:rPr>
        <w:t>计算洗脱效率。</w:t>
      </w:r>
    </w:p>
    <w:p w14:paraId="21D6DC43">
      <w:pPr>
        <w:keepNext w:val="0"/>
        <w:keepLines w:val="0"/>
        <w:pageBreakBefore w:val="0"/>
        <w:widowControl w:val="0"/>
        <w:kinsoku/>
        <w:wordWrap/>
        <w:overflowPunct/>
        <w:topLinePunct w:val="0"/>
        <w:autoSpaceDE w:val="0"/>
        <w:autoSpaceDN w:val="0"/>
        <w:bidi w:val="0"/>
        <w:adjustRightInd w:val="0"/>
        <w:snapToGrid w:val="0"/>
        <w:spacing w:line="240" w:lineRule="auto"/>
        <w:ind w:firstLine="3360" w:firstLineChars="1200"/>
        <w:jc w:val="both"/>
        <w:textAlignment w:val="bottom"/>
        <w:rPr>
          <w:rFonts w:hint="default" w:ascii="Times New Roman" w:hAnsi="Times New Roman" w:cs="Times New Roman"/>
          <w:color w:val="auto"/>
          <w:kern w:val="2"/>
          <w:sz w:val="28"/>
          <w:szCs w:val="28"/>
          <w:lang w:val="en-US" w:eastAsia="zh-CN" w:bidi="ar-SA"/>
        </w:rPr>
      </w:pPr>
      <m:oMath>
        <m:r>
          <m:rPr>
            <m:sty m:val="p"/>
          </m:rPr>
          <w:rPr>
            <w:rFonts w:hint="default" w:ascii="Cambria Math" w:hAnsi="Cambria Math" w:eastAsia="仿宋" w:cs="Times New Roman"/>
            <w:color w:val="auto"/>
            <w:kern w:val="2"/>
            <w:sz w:val="28"/>
            <w:szCs w:val="28"/>
            <w:lang w:val="en-US" w:eastAsia="zh-CN" w:bidi="ar-SA"/>
          </w:rPr>
          <m:t>T=</m:t>
        </m:r>
        <m:f>
          <m:fPr>
            <m:ctrlPr>
              <w:rPr>
                <w:rFonts w:hint="default" w:ascii="Cambria Math" w:hAnsi="Cambria Math" w:eastAsia="仿宋" w:cs="Times New Roman"/>
                <w:color w:val="auto"/>
                <w:kern w:val="2"/>
                <w:sz w:val="28"/>
                <w:szCs w:val="28"/>
                <w:lang w:val="en-US" w:eastAsia="zh-CN" w:bidi="ar-SA"/>
              </w:rPr>
            </m:ctrlPr>
          </m:fPr>
          <m:num>
            <m:sSub>
              <m:sSubPr>
                <m:ctrlPr>
                  <w:rPr>
                    <w:rFonts w:hint="default" w:ascii="Cambria Math" w:hAnsi="Cambria Math" w:eastAsia="仿宋" w:cs="Times New Roman"/>
                    <w:color w:val="auto"/>
                    <w:kern w:val="2"/>
                    <w:sz w:val="28"/>
                    <w:szCs w:val="28"/>
                    <w:lang w:val="en-US" w:eastAsia="zh-CN" w:bidi="ar-SA"/>
                  </w:rPr>
                </m:ctrlPr>
              </m:sSubPr>
              <m:e>
                <m:r>
                  <m:rPr>
                    <m:sty m:val="p"/>
                  </m:rPr>
                  <w:rPr>
                    <w:rFonts w:hint="default" w:ascii="Cambria Math" w:hAnsi="Cambria Math" w:eastAsia="仿宋" w:cs="Times New Roman"/>
                    <w:color w:val="auto"/>
                    <w:kern w:val="2"/>
                    <w:sz w:val="28"/>
                    <w:szCs w:val="28"/>
                    <w:lang w:val="en-US" w:eastAsia="zh-CN" w:bidi="ar-SA"/>
                  </w:rPr>
                  <m:t>m</m:t>
                </m:r>
                <m:ctrlPr>
                  <w:rPr>
                    <w:rFonts w:hint="default" w:ascii="Cambria Math" w:hAnsi="Cambria Math" w:eastAsia="仿宋" w:cs="Times New Roman"/>
                    <w:color w:val="auto"/>
                    <w:kern w:val="2"/>
                    <w:sz w:val="28"/>
                    <w:szCs w:val="28"/>
                    <w:lang w:val="en-US" w:eastAsia="zh-CN" w:bidi="ar-SA"/>
                  </w:rPr>
                </m:ctrlPr>
              </m:e>
              <m:sub>
                <m:r>
                  <m:rPr>
                    <m:sty m:val="p"/>
                  </m:rPr>
                  <w:rPr>
                    <w:rFonts w:hint="default" w:ascii="Cambria Math" w:hAnsi="Cambria Math" w:eastAsia="仿宋" w:cs="Times New Roman"/>
                    <w:color w:val="auto"/>
                    <w:kern w:val="2"/>
                    <w:sz w:val="28"/>
                    <w:szCs w:val="28"/>
                    <w:lang w:val="en-US" w:eastAsia="zh-CN" w:bidi="ar-SA"/>
                  </w:rPr>
                  <m:t>1</m:t>
                </m:r>
                <m:ctrlPr>
                  <w:rPr>
                    <w:rFonts w:hint="default" w:ascii="Cambria Math" w:hAnsi="Cambria Math" w:eastAsia="仿宋" w:cs="Times New Roman"/>
                    <w:color w:val="auto"/>
                    <w:kern w:val="2"/>
                    <w:sz w:val="28"/>
                    <w:szCs w:val="28"/>
                    <w:lang w:val="en-US" w:eastAsia="zh-CN" w:bidi="ar-SA"/>
                  </w:rPr>
                </m:ctrlPr>
              </m:sub>
            </m:sSub>
            <m:ctrlPr>
              <w:rPr>
                <w:rFonts w:hint="default" w:ascii="Cambria Math" w:hAnsi="Cambria Math" w:eastAsia="仿宋" w:cs="Times New Roman"/>
                <w:color w:val="auto"/>
                <w:kern w:val="2"/>
                <w:sz w:val="28"/>
                <w:szCs w:val="28"/>
                <w:lang w:val="en-US" w:eastAsia="zh-CN" w:bidi="ar-SA"/>
              </w:rPr>
            </m:ctrlPr>
          </m:num>
          <m:den>
            <m:sSub>
              <m:sSubPr>
                <m:ctrlPr>
                  <w:rPr>
                    <w:rFonts w:hint="default" w:ascii="Cambria Math" w:hAnsi="Cambria Math" w:eastAsia="仿宋" w:cs="Times New Roman"/>
                    <w:color w:val="auto"/>
                    <w:kern w:val="2"/>
                    <w:sz w:val="28"/>
                    <w:szCs w:val="28"/>
                    <w:lang w:val="en-US" w:eastAsia="zh-CN" w:bidi="ar-SA"/>
                  </w:rPr>
                </m:ctrlPr>
              </m:sSubPr>
              <m:e>
                <m:r>
                  <m:rPr>
                    <m:sty m:val="p"/>
                  </m:rPr>
                  <w:rPr>
                    <w:rFonts w:hint="default" w:ascii="Cambria Math" w:hAnsi="Cambria Math" w:eastAsia="仿宋" w:cs="Times New Roman"/>
                    <w:color w:val="auto"/>
                    <w:kern w:val="2"/>
                    <w:sz w:val="28"/>
                    <w:szCs w:val="28"/>
                    <w:lang w:val="en-US" w:eastAsia="zh-CN" w:bidi="ar-SA"/>
                  </w:rPr>
                  <m:t>m</m:t>
                </m:r>
                <m:ctrlPr>
                  <w:rPr>
                    <w:rFonts w:hint="default" w:ascii="Cambria Math" w:hAnsi="Cambria Math" w:eastAsia="仿宋" w:cs="Times New Roman"/>
                    <w:color w:val="auto"/>
                    <w:kern w:val="2"/>
                    <w:sz w:val="28"/>
                    <w:szCs w:val="28"/>
                    <w:lang w:val="en-US" w:eastAsia="zh-CN" w:bidi="ar-SA"/>
                  </w:rPr>
                </m:ctrlPr>
              </m:e>
              <m:sub>
                <m:r>
                  <m:rPr>
                    <m:sty m:val="p"/>
                  </m:rPr>
                  <w:rPr>
                    <w:rFonts w:hint="default" w:ascii="Cambria Math" w:hAnsi="Cambria Math" w:eastAsia="仿宋" w:cs="Times New Roman"/>
                    <w:color w:val="auto"/>
                    <w:kern w:val="2"/>
                    <w:sz w:val="28"/>
                    <w:szCs w:val="28"/>
                    <w:lang w:val="en-US" w:eastAsia="zh-CN" w:bidi="ar-SA"/>
                  </w:rPr>
                  <m:t>2</m:t>
                </m:r>
                <m:ctrlPr>
                  <w:rPr>
                    <w:rFonts w:hint="default" w:ascii="Cambria Math" w:hAnsi="Cambria Math" w:eastAsia="仿宋" w:cs="Times New Roman"/>
                    <w:color w:val="auto"/>
                    <w:kern w:val="2"/>
                    <w:sz w:val="28"/>
                    <w:szCs w:val="28"/>
                    <w:lang w:val="en-US" w:eastAsia="zh-CN" w:bidi="ar-SA"/>
                  </w:rPr>
                </m:ctrlPr>
              </m:sub>
            </m:sSub>
            <m:ctrlPr>
              <w:rPr>
                <w:rFonts w:hint="default" w:ascii="Cambria Math" w:hAnsi="Cambria Math" w:eastAsia="仿宋" w:cs="Times New Roman"/>
                <w:color w:val="auto"/>
                <w:kern w:val="2"/>
                <w:sz w:val="28"/>
                <w:szCs w:val="28"/>
                <w:lang w:val="en-US" w:eastAsia="zh-CN" w:bidi="ar-SA"/>
              </w:rPr>
            </m:ctrlPr>
          </m:den>
        </m:f>
        <m:r>
          <m:rPr>
            <m:sty m:val="p"/>
          </m:rPr>
          <w:rPr>
            <w:rFonts w:ascii="Cambria Math" w:hAnsi="Cambria Math" w:cs="Times New Roman"/>
            <w:color w:val="auto"/>
            <w:kern w:val="2"/>
            <w:sz w:val="28"/>
            <w:szCs w:val="28"/>
            <w:lang w:val="en-US" w:bidi="ar-SA"/>
          </w:rPr>
          <m:t>×</m:t>
        </m:r>
        <m:r>
          <m:rPr>
            <m:sty m:val="p"/>
          </m:rPr>
          <w:rPr>
            <w:rFonts w:hint="default" w:ascii="Cambria Math" w:hAnsi="Cambria Math" w:cs="Times New Roman"/>
            <w:color w:val="auto"/>
            <w:kern w:val="2"/>
            <w:sz w:val="28"/>
            <w:szCs w:val="28"/>
            <w:lang w:val="en-US" w:eastAsia="zh-CN" w:bidi="ar-SA"/>
          </w:rPr>
          <m:t>100%</m:t>
        </m:r>
      </m:oMath>
      <w:r>
        <w:rPr>
          <w:rFonts w:hint="default" w:ascii="Cambria Math" w:hAnsi="Cambria Math" w:cs="Times New Roman"/>
          <w:color w:val="auto"/>
          <w:kern w:val="2"/>
          <w:sz w:val="28"/>
          <w:szCs w:val="28"/>
          <w:lang w:val="en-US" w:eastAsia="zh-CN" w:bidi="ar-SA"/>
        </w:rPr>
        <w:t xml:space="preserve"> </w:t>
      </w:r>
      <w:r>
        <w:rPr>
          <w:rFonts w:hint="eastAsia" w:ascii="Cambria Math" w:hAnsi="Cambria Math" w:cs="Times New Roman"/>
          <w:color w:val="auto"/>
          <w:kern w:val="2"/>
          <w:sz w:val="28"/>
          <w:szCs w:val="28"/>
          <w:lang w:val="en-US" w:eastAsia="zh-CN" w:bidi="ar-SA"/>
        </w:rPr>
        <w:t xml:space="preserve">                                         </w:t>
      </w:r>
      <w:r>
        <w:rPr>
          <w:rFonts w:hint="default" w:ascii="Times New Roman" w:hAnsi="Times New Roman" w:cs="Times New Roman"/>
          <w:color w:val="auto"/>
          <w:kern w:val="2"/>
          <w:sz w:val="28"/>
          <w:szCs w:val="28"/>
          <w:lang w:val="en-US" w:eastAsia="zh-CN" w:bidi="ar-SA"/>
        </w:rPr>
        <w:t>（1）</w:t>
      </w:r>
    </w:p>
    <w:p w14:paraId="30BC476A">
      <w:pPr>
        <w:keepNext w:val="0"/>
        <w:keepLines w:val="0"/>
        <w:pageBreakBefore w:val="0"/>
        <w:widowControl w:val="0"/>
        <w:kinsoku/>
        <w:wordWrap/>
        <w:overflowPunct/>
        <w:topLinePunct w:val="0"/>
        <w:autoSpaceDE w:val="0"/>
        <w:autoSpaceDN w:val="0"/>
        <w:bidi w:val="0"/>
        <w:adjustRightInd w:val="0"/>
        <w:snapToGrid w:val="0"/>
        <w:spacing w:line="240" w:lineRule="auto"/>
        <w:ind w:firstLine="560" w:firstLineChars="200"/>
        <w:jc w:val="both"/>
        <w:textAlignment w:val="bottom"/>
        <w:rPr>
          <w:rFonts w:hint="eastAsia" w:eastAsia="仿宋"/>
          <w:snapToGrid w:val="0"/>
          <w:color w:val="auto"/>
          <w:sz w:val="28"/>
          <w:szCs w:val="28"/>
          <w:lang w:val="en-US" w:eastAsia="zh-CN"/>
        </w:rPr>
      </w:pPr>
      <w:r>
        <w:rPr>
          <w:rFonts w:hint="eastAsia" w:eastAsia="仿宋"/>
          <w:snapToGrid w:val="0"/>
          <w:color w:val="auto"/>
          <w:sz w:val="28"/>
          <w:szCs w:val="28"/>
          <w:lang w:val="en-US" w:eastAsia="zh-CN"/>
        </w:rPr>
        <w:t>式中：</w:t>
      </w:r>
    </w:p>
    <w:p w14:paraId="017297F1">
      <w:pPr>
        <w:autoSpaceDE w:val="0"/>
        <w:autoSpaceDN w:val="0"/>
        <w:adjustRightInd w:val="0"/>
        <w:snapToGrid w:val="0"/>
        <w:spacing w:line="460" w:lineRule="exact"/>
        <w:ind w:firstLine="560" w:firstLineChars="200"/>
        <w:jc w:val="both"/>
        <w:textAlignment w:val="bottom"/>
        <w:rPr>
          <w:rFonts w:hint="eastAsia" w:eastAsia="仿宋"/>
          <w:snapToGrid w:val="0"/>
          <w:color w:val="auto"/>
          <w:sz w:val="28"/>
          <w:szCs w:val="28"/>
          <w:lang w:val="en-US" w:eastAsia="zh-CN"/>
        </w:rPr>
      </w:pPr>
      <w:r>
        <w:rPr>
          <w:rFonts w:hint="eastAsia" w:eastAsia="仿宋"/>
          <w:snapToGrid w:val="0"/>
          <w:color w:val="auto"/>
          <w:sz w:val="28"/>
          <w:szCs w:val="28"/>
          <w:lang w:val="en-US" w:eastAsia="zh-CN"/>
        </w:rPr>
        <w:t>T：洗脱效率，100%；</w:t>
      </w:r>
    </w:p>
    <w:p w14:paraId="0BA392FE">
      <w:pPr>
        <w:autoSpaceDE w:val="0"/>
        <w:autoSpaceDN w:val="0"/>
        <w:adjustRightInd w:val="0"/>
        <w:snapToGrid w:val="0"/>
        <w:spacing w:line="460" w:lineRule="exact"/>
        <w:ind w:firstLine="560" w:firstLineChars="200"/>
        <w:jc w:val="both"/>
        <w:textAlignment w:val="bottom"/>
        <w:rPr>
          <w:rFonts w:hint="default" w:eastAsia="仿宋"/>
          <w:snapToGrid w:val="0"/>
          <w:color w:val="auto"/>
          <w:sz w:val="28"/>
          <w:szCs w:val="28"/>
          <w:lang w:val="en-US" w:eastAsia="zh-CN"/>
        </w:rPr>
      </w:pPr>
      <w:r>
        <w:rPr>
          <w:rFonts w:hint="eastAsia" w:eastAsia="仿宋"/>
          <w:snapToGrid w:val="0"/>
          <w:color w:val="auto"/>
          <w:sz w:val="28"/>
          <w:szCs w:val="28"/>
          <w:lang w:val="en-US" w:eastAsia="zh-CN"/>
        </w:rPr>
        <w:t>m</w:t>
      </w:r>
      <w:r>
        <w:rPr>
          <w:rFonts w:hint="eastAsia" w:eastAsia="仿宋"/>
          <w:snapToGrid w:val="0"/>
          <w:color w:val="auto"/>
          <w:sz w:val="28"/>
          <w:szCs w:val="28"/>
          <w:vertAlign w:val="subscript"/>
          <w:lang w:val="en-US" w:eastAsia="zh-CN"/>
        </w:rPr>
        <w:t>1</w:t>
      </w:r>
      <w:r>
        <w:rPr>
          <w:rFonts w:hint="eastAsia" w:eastAsia="仿宋"/>
          <w:snapToGrid w:val="0"/>
          <w:color w:val="auto"/>
          <w:sz w:val="28"/>
          <w:szCs w:val="28"/>
          <w:lang w:val="en-US" w:eastAsia="zh-CN"/>
        </w:rPr>
        <w:t>：测得的待测物量，单位为微克（</w:t>
      </w:r>
      <w:r>
        <w:rPr>
          <w:rFonts w:hint="default" w:ascii="Times New Roman" w:hAnsi="Times New Roman" w:eastAsia="仿宋" w:cs="Times New Roman"/>
          <w:snapToGrid w:val="0"/>
          <w:color w:val="auto"/>
          <w:sz w:val="28"/>
          <w:szCs w:val="28"/>
          <w:lang w:val="en-US" w:eastAsia="zh-CN"/>
        </w:rPr>
        <w:t>μg</w:t>
      </w:r>
      <w:r>
        <w:rPr>
          <w:rFonts w:hint="eastAsia" w:eastAsia="仿宋"/>
          <w:snapToGrid w:val="0"/>
          <w:color w:val="auto"/>
          <w:sz w:val="28"/>
          <w:szCs w:val="28"/>
          <w:lang w:val="en-US" w:eastAsia="zh-CN"/>
        </w:rPr>
        <w:t>）；</w:t>
      </w:r>
    </w:p>
    <w:p w14:paraId="7FBDBF51">
      <w:pPr>
        <w:autoSpaceDE w:val="0"/>
        <w:autoSpaceDN w:val="0"/>
        <w:adjustRightInd w:val="0"/>
        <w:snapToGrid w:val="0"/>
        <w:spacing w:line="460" w:lineRule="exact"/>
        <w:ind w:firstLine="560" w:firstLineChars="200"/>
        <w:jc w:val="both"/>
        <w:textAlignment w:val="bottom"/>
        <w:rPr>
          <w:rFonts w:hint="default" w:eastAsia="仿宋"/>
          <w:snapToGrid w:val="0"/>
          <w:color w:val="auto"/>
          <w:sz w:val="28"/>
          <w:szCs w:val="28"/>
          <w:lang w:val="en-US" w:eastAsia="zh-CN"/>
        </w:rPr>
      </w:pPr>
      <w:r>
        <w:rPr>
          <w:rFonts w:hint="eastAsia" w:eastAsia="仿宋"/>
          <w:snapToGrid w:val="0"/>
          <w:color w:val="auto"/>
          <w:sz w:val="28"/>
          <w:szCs w:val="28"/>
          <w:lang w:val="en-US" w:eastAsia="zh-CN"/>
        </w:rPr>
        <w:t>m</w:t>
      </w:r>
      <w:r>
        <w:rPr>
          <w:rFonts w:hint="eastAsia" w:eastAsia="仿宋"/>
          <w:snapToGrid w:val="0"/>
          <w:color w:val="auto"/>
          <w:sz w:val="28"/>
          <w:szCs w:val="28"/>
          <w:vertAlign w:val="subscript"/>
          <w:lang w:val="en-US" w:eastAsia="zh-CN"/>
        </w:rPr>
        <w:t>2</w:t>
      </w:r>
      <w:r>
        <w:rPr>
          <w:rFonts w:hint="eastAsia" w:eastAsia="仿宋"/>
          <w:snapToGrid w:val="0"/>
          <w:color w:val="auto"/>
          <w:sz w:val="28"/>
          <w:szCs w:val="28"/>
          <w:lang w:val="en-US" w:eastAsia="zh-CN"/>
        </w:rPr>
        <w:t>：滤料上加入的待测物量，单位为微克（</w:t>
      </w:r>
      <w:r>
        <w:rPr>
          <w:rFonts w:hint="default" w:ascii="Times New Roman" w:hAnsi="Times New Roman" w:eastAsia="仿宋" w:cs="Times New Roman"/>
          <w:snapToGrid w:val="0"/>
          <w:color w:val="auto"/>
          <w:sz w:val="28"/>
          <w:szCs w:val="28"/>
          <w:lang w:val="en-US" w:eastAsia="zh-CN"/>
        </w:rPr>
        <w:t>μg</w:t>
      </w:r>
      <w:r>
        <w:rPr>
          <w:rFonts w:hint="eastAsia" w:eastAsia="仿宋"/>
          <w:snapToGrid w:val="0"/>
          <w:color w:val="auto"/>
          <w:sz w:val="28"/>
          <w:szCs w:val="28"/>
          <w:lang w:val="en-US" w:eastAsia="zh-CN"/>
        </w:rPr>
        <w:t>）。</w:t>
      </w:r>
    </w:p>
    <w:p w14:paraId="67BF73CC">
      <w:pPr>
        <w:autoSpaceDE w:val="0"/>
        <w:autoSpaceDN w:val="0"/>
        <w:adjustRightInd w:val="0"/>
        <w:snapToGrid w:val="0"/>
        <w:spacing w:line="460" w:lineRule="exact"/>
        <w:ind w:firstLine="560" w:firstLineChars="200"/>
        <w:textAlignment w:val="bottom"/>
        <w:rPr>
          <w:rFonts w:eastAsia="仿宋"/>
          <w:snapToGrid w:val="0"/>
          <w:color w:val="auto"/>
          <w:sz w:val="28"/>
          <w:szCs w:val="28"/>
        </w:rPr>
      </w:pPr>
      <w:r>
        <w:rPr>
          <w:rFonts w:hint="eastAsia" w:eastAsia="仿宋"/>
          <w:snapToGrid w:val="0"/>
          <w:color w:val="auto"/>
          <w:sz w:val="28"/>
          <w:szCs w:val="28"/>
        </w:rPr>
        <w:t>结果显示，3种洗脱溶剂对草铵膦的洗脱效率和回收率无明显差异，考虑到实验操作和安全性，选择纯水作为洗脱溶剂进行后续实验</w:t>
      </w:r>
      <w:r>
        <w:rPr>
          <w:rFonts w:hint="eastAsia" w:eastAsia="仿宋"/>
          <w:color w:val="auto"/>
          <w:sz w:val="28"/>
          <w:szCs w:val="28"/>
          <w:lang w:val="en-US" w:eastAsia="zh-CN"/>
        </w:rPr>
        <w:t>玻璃纤维滤纸的洗脱效率最</w:t>
      </w:r>
      <w:r>
        <w:rPr>
          <w:rFonts w:hint="eastAsia" w:eastAsia="仿宋"/>
          <w:color w:val="auto"/>
          <w:sz w:val="28"/>
          <w:szCs w:val="28"/>
        </w:rPr>
        <w:t>见表</w:t>
      </w:r>
      <w:r>
        <w:rPr>
          <w:rFonts w:hint="eastAsia" w:eastAsia="仿宋"/>
          <w:color w:val="auto"/>
          <w:sz w:val="28"/>
          <w:szCs w:val="28"/>
          <w:lang w:val="en-US" w:eastAsia="zh-CN"/>
        </w:rPr>
        <w:t>2</w:t>
      </w:r>
      <w:r>
        <w:rPr>
          <w:rFonts w:hint="eastAsia" w:eastAsia="仿宋"/>
          <w:color w:val="auto"/>
          <w:sz w:val="28"/>
          <w:szCs w:val="28"/>
        </w:rPr>
        <w:t>和表</w:t>
      </w:r>
      <w:r>
        <w:rPr>
          <w:rFonts w:hint="eastAsia" w:eastAsia="仿宋"/>
          <w:color w:val="auto"/>
          <w:sz w:val="28"/>
          <w:szCs w:val="28"/>
          <w:lang w:val="en-US" w:eastAsia="zh-CN"/>
        </w:rPr>
        <w:t>3</w:t>
      </w:r>
      <w:r>
        <w:rPr>
          <w:rFonts w:hint="eastAsia" w:eastAsia="仿宋"/>
          <w:color w:val="auto"/>
          <w:sz w:val="28"/>
          <w:szCs w:val="28"/>
        </w:rPr>
        <w:t>。</w:t>
      </w:r>
    </w:p>
    <w:p w14:paraId="060A7BEA">
      <w:pPr>
        <w:shd w:val="clear" w:color="auto" w:fill="FFFFFF"/>
        <w:spacing w:line="360" w:lineRule="auto"/>
        <w:jc w:val="center"/>
        <w:rPr>
          <w:rFonts w:eastAsia="仿宋"/>
          <w:color w:val="auto"/>
          <w:szCs w:val="21"/>
        </w:rPr>
      </w:pPr>
      <w:r>
        <w:rPr>
          <w:rFonts w:eastAsia="仿宋"/>
          <w:color w:val="auto"/>
          <w:szCs w:val="21"/>
        </w:rPr>
        <w:t>表</w:t>
      </w:r>
      <w:r>
        <w:rPr>
          <w:rFonts w:hint="eastAsia" w:eastAsia="仿宋"/>
          <w:color w:val="auto"/>
          <w:szCs w:val="21"/>
          <w:lang w:val="en-US" w:eastAsia="zh-CN"/>
        </w:rPr>
        <w:t>2</w:t>
      </w:r>
      <w:r>
        <w:rPr>
          <w:rFonts w:eastAsia="仿宋"/>
          <w:color w:val="auto"/>
          <w:szCs w:val="21"/>
        </w:rPr>
        <w:t xml:space="preserve"> 洗脱</w:t>
      </w:r>
      <w:r>
        <w:rPr>
          <w:rFonts w:hint="eastAsia" w:eastAsia="仿宋"/>
          <w:color w:val="auto"/>
          <w:szCs w:val="21"/>
        </w:rPr>
        <w:t>溶剂对洗脱效率的影响</w:t>
      </w:r>
      <w:r>
        <w:rPr>
          <w:rFonts w:eastAsia="仿宋"/>
          <w:color w:val="auto"/>
          <w:szCs w:val="21"/>
        </w:rPr>
        <w:t>（n=6）</w:t>
      </w:r>
    </w:p>
    <w:tbl>
      <w:tblPr>
        <w:tblStyle w:val="22"/>
        <w:tblW w:w="8741"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27"/>
        <w:gridCol w:w="1638"/>
        <w:gridCol w:w="1560"/>
        <w:gridCol w:w="1716"/>
      </w:tblGrid>
      <w:tr w14:paraId="47ACDC8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tcBorders>
              <w:bottom w:val="single" w:color="auto" w:sz="12" w:space="0"/>
            </w:tcBorders>
            <w:vAlign w:val="center"/>
          </w:tcPr>
          <w:p w14:paraId="682E4BED">
            <w:pPr>
              <w:shd w:val="clear" w:color="auto" w:fill="FFFFFF"/>
              <w:spacing w:line="360" w:lineRule="auto"/>
              <w:jc w:val="center"/>
              <w:rPr>
                <w:rFonts w:eastAsia="仿宋"/>
                <w:color w:val="auto"/>
                <w:szCs w:val="21"/>
              </w:rPr>
            </w:pPr>
            <w:r>
              <w:rPr>
                <w:rFonts w:eastAsia="仿宋"/>
                <w:color w:val="auto"/>
                <w:szCs w:val="21"/>
              </w:rPr>
              <w:t>洗脱</w:t>
            </w:r>
            <w:r>
              <w:rPr>
                <w:rFonts w:hint="eastAsia" w:eastAsia="仿宋"/>
                <w:color w:val="auto"/>
                <w:szCs w:val="21"/>
              </w:rPr>
              <w:t>溶剂</w:t>
            </w:r>
          </w:p>
        </w:tc>
        <w:tc>
          <w:tcPr>
            <w:tcW w:w="1638" w:type="dxa"/>
            <w:tcBorders>
              <w:bottom w:val="single" w:color="auto" w:sz="12" w:space="0"/>
            </w:tcBorders>
            <w:vAlign w:val="center"/>
          </w:tcPr>
          <w:p w14:paraId="006FAD53">
            <w:pPr>
              <w:shd w:val="clear" w:color="auto" w:fill="FFFFFF"/>
              <w:spacing w:line="360" w:lineRule="auto"/>
              <w:jc w:val="center"/>
              <w:rPr>
                <w:rFonts w:eastAsia="仿宋"/>
                <w:color w:val="auto"/>
                <w:szCs w:val="21"/>
              </w:rPr>
            </w:pPr>
            <w:r>
              <w:rPr>
                <w:rFonts w:eastAsia="仿宋"/>
                <w:color w:val="auto"/>
                <w:szCs w:val="21"/>
              </w:rPr>
              <w:t>加入量（μg）</w:t>
            </w:r>
          </w:p>
        </w:tc>
        <w:tc>
          <w:tcPr>
            <w:tcW w:w="1560" w:type="dxa"/>
            <w:tcBorders>
              <w:bottom w:val="single" w:color="auto" w:sz="12" w:space="0"/>
            </w:tcBorders>
            <w:vAlign w:val="center"/>
          </w:tcPr>
          <w:p w14:paraId="09CFB364">
            <w:pPr>
              <w:shd w:val="clear" w:color="auto" w:fill="FFFFFF"/>
              <w:spacing w:line="360" w:lineRule="auto"/>
              <w:jc w:val="center"/>
              <w:rPr>
                <w:rFonts w:eastAsia="仿宋"/>
                <w:color w:val="auto"/>
                <w:szCs w:val="21"/>
              </w:rPr>
            </w:pPr>
            <w:r>
              <w:rPr>
                <w:rFonts w:eastAsia="仿宋"/>
                <w:color w:val="auto"/>
                <w:szCs w:val="21"/>
              </w:rPr>
              <w:t>平均值（μg）</w:t>
            </w:r>
          </w:p>
        </w:tc>
        <w:tc>
          <w:tcPr>
            <w:tcW w:w="1716" w:type="dxa"/>
            <w:tcBorders>
              <w:bottom w:val="single" w:color="auto" w:sz="12" w:space="0"/>
            </w:tcBorders>
            <w:vAlign w:val="center"/>
          </w:tcPr>
          <w:p w14:paraId="4043F833">
            <w:pPr>
              <w:shd w:val="clear" w:color="auto" w:fill="FFFFFF"/>
              <w:spacing w:line="360" w:lineRule="auto"/>
              <w:jc w:val="center"/>
              <w:rPr>
                <w:rFonts w:eastAsia="仿宋"/>
                <w:color w:val="auto"/>
                <w:szCs w:val="21"/>
              </w:rPr>
            </w:pPr>
            <w:r>
              <w:rPr>
                <w:rFonts w:eastAsia="仿宋"/>
                <w:color w:val="auto"/>
                <w:szCs w:val="21"/>
              </w:rPr>
              <w:t>洗脱效率（%）</w:t>
            </w:r>
          </w:p>
        </w:tc>
      </w:tr>
      <w:tr w14:paraId="0FA1AE2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restart"/>
            <w:tcBorders>
              <w:top w:val="single" w:color="auto" w:sz="12" w:space="0"/>
            </w:tcBorders>
            <w:vAlign w:val="center"/>
          </w:tcPr>
          <w:p w14:paraId="08040EFC">
            <w:pPr>
              <w:shd w:val="clear" w:color="auto" w:fill="FFFFFF"/>
              <w:spacing w:line="360" w:lineRule="auto"/>
              <w:jc w:val="center"/>
              <w:rPr>
                <w:rFonts w:eastAsia="仿宋"/>
                <w:color w:val="auto"/>
                <w:szCs w:val="21"/>
              </w:rPr>
            </w:pPr>
            <w:r>
              <w:rPr>
                <w:rFonts w:hint="eastAsia" w:eastAsia="仿宋"/>
                <w:color w:val="auto"/>
                <w:szCs w:val="21"/>
              </w:rPr>
              <w:t>纯水</w:t>
            </w:r>
          </w:p>
        </w:tc>
        <w:tc>
          <w:tcPr>
            <w:tcW w:w="1638" w:type="dxa"/>
            <w:tcBorders>
              <w:top w:val="single" w:color="auto" w:sz="12" w:space="0"/>
            </w:tcBorders>
            <w:vAlign w:val="center"/>
          </w:tcPr>
          <w:p w14:paraId="7681822B">
            <w:pPr>
              <w:spacing w:line="360" w:lineRule="auto"/>
              <w:jc w:val="center"/>
              <w:rPr>
                <w:rFonts w:eastAsia="仿宋"/>
                <w:color w:val="auto"/>
                <w:szCs w:val="21"/>
              </w:rPr>
            </w:pPr>
            <w:r>
              <w:rPr>
                <w:rFonts w:eastAsia="仿宋"/>
                <w:color w:val="auto"/>
                <w:szCs w:val="21"/>
              </w:rPr>
              <w:t>1.04</w:t>
            </w:r>
          </w:p>
        </w:tc>
        <w:tc>
          <w:tcPr>
            <w:tcW w:w="1560" w:type="dxa"/>
            <w:tcBorders>
              <w:top w:val="single" w:color="auto" w:sz="12" w:space="0"/>
            </w:tcBorders>
            <w:vAlign w:val="center"/>
          </w:tcPr>
          <w:p w14:paraId="73654502">
            <w:pPr>
              <w:shd w:val="clear" w:color="auto" w:fill="FFFFFF"/>
              <w:spacing w:line="360" w:lineRule="auto"/>
              <w:jc w:val="center"/>
              <w:rPr>
                <w:rFonts w:eastAsia="仿宋"/>
                <w:color w:val="auto"/>
                <w:szCs w:val="21"/>
              </w:rPr>
            </w:pPr>
            <w:r>
              <w:rPr>
                <w:rFonts w:hint="eastAsia" w:eastAsia="仿宋"/>
                <w:color w:val="auto"/>
                <w:szCs w:val="21"/>
              </w:rPr>
              <w:t>1.06</w:t>
            </w:r>
          </w:p>
        </w:tc>
        <w:tc>
          <w:tcPr>
            <w:tcW w:w="1716" w:type="dxa"/>
            <w:tcBorders>
              <w:top w:val="single" w:color="auto" w:sz="12" w:space="0"/>
            </w:tcBorders>
            <w:vAlign w:val="center"/>
          </w:tcPr>
          <w:p w14:paraId="0A313D7F">
            <w:pPr>
              <w:shd w:val="clear" w:color="auto" w:fill="FFFFFF"/>
              <w:spacing w:line="360" w:lineRule="auto"/>
              <w:jc w:val="center"/>
              <w:rPr>
                <w:rFonts w:eastAsia="仿宋"/>
                <w:color w:val="auto"/>
                <w:szCs w:val="21"/>
              </w:rPr>
            </w:pPr>
            <w:r>
              <w:rPr>
                <w:rFonts w:hint="eastAsia" w:eastAsia="仿宋"/>
                <w:color w:val="auto"/>
                <w:szCs w:val="21"/>
              </w:rPr>
              <w:t>102</w:t>
            </w:r>
          </w:p>
        </w:tc>
      </w:tr>
      <w:tr w14:paraId="51F334E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vAlign w:val="center"/>
          </w:tcPr>
          <w:p w14:paraId="5819CDFF">
            <w:pPr>
              <w:shd w:val="clear" w:color="auto" w:fill="FFFFFF"/>
              <w:spacing w:line="360" w:lineRule="auto"/>
              <w:jc w:val="center"/>
              <w:rPr>
                <w:rFonts w:eastAsia="仿宋"/>
                <w:color w:val="auto"/>
                <w:szCs w:val="21"/>
              </w:rPr>
            </w:pPr>
          </w:p>
        </w:tc>
        <w:tc>
          <w:tcPr>
            <w:tcW w:w="1638" w:type="dxa"/>
            <w:vAlign w:val="center"/>
          </w:tcPr>
          <w:p w14:paraId="346A063B">
            <w:pPr>
              <w:spacing w:line="360" w:lineRule="auto"/>
              <w:jc w:val="center"/>
              <w:rPr>
                <w:rFonts w:eastAsia="仿宋"/>
                <w:color w:val="auto"/>
                <w:szCs w:val="21"/>
              </w:rPr>
            </w:pPr>
            <w:r>
              <w:rPr>
                <w:rFonts w:eastAsia="仿宋"/>
                <w:color w:val="auto"/>
                <w:szCs w:val="21"/>
              </w:rPr>
              <w:t>5.18</w:t>
            </w:r>
          </w:p>
        </w:tc>
        <w:tc>
          <w:tcPr>
            <w:tcW w:w="1560" w:type="dxa"/>
            <w:vAlign w:val="center"/>
          </w:tcPr>
          <w:p w14:paraId="30761A35">
            <w:pPr>
              <w:shd w:val="clear" w:color="auto" w:fill="FFFFFF"/>
              <w:spacing w:line="360" w:lineRule="auto"/>
              <w:jc w:val="center"/>
              <w:rPr>
                <w:rFonts w:eastAsia="仿宋"/>
                <w:color w:val="auto"/>
                <w:szCs w:val="21"/>
              </w:rPr>
            </w:pPr>
            <w:r>
              <w:rPr>
                <w:rFonts w:hint="eastAsia" w:eastAsia="仿宋"/>
                <w:color w:val="auto"/>
                <w:szCs w:val="21"/>
              </w:rPr>
              <w:t>5.15</w:t>
            </w:r>
          </w:p>
        </w:tc>
        <w:tc>
          <w:tcPr>
            <w:tcW w:w="1716" w:type="dxa"/>
            <w:vAlign w:val="center"/>
          </w:tcPr>
          <w:p w14:paraId="26CFA487">
            <w:pPr>
              <w:shd w:val="clear" w:color="auto" w:fill="FFFFFF"/>
              <w:spacing w:line="360" w:lineRule="auto"/>
              <w:jc w:val="center"/>
              <w:rPr>
                <w:rFonts w:eastAsia="仿宋"/>
                <w:color w:val="auto"/>
                <w:szCs w:val="21"/>
              </w:rPr>
            </w:pPr>
            <w:r>
              <w:rPr>
                <w:rFonts w:hint="eastAsia" w:eastAsia="仿宋"/>
                <w:color w:val="auto"/>
                <w:szCs w:val="21"/>
              </w:rPr>
              <w:t>99.4</w:t>
            </w:r>
          </w:p>
        </w:tc>
      </w:tr>
      <w:tr w14:paraId="44FEE7F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vAlign w:val="center"/>
          </w:tcPr>
          <w:p w14:paraId="3EE2CDA0">
            <w:pPr>
              <w:shd w:val="clear" w:color="auto" w:fill="FFFFFF"/>
              <w:spacing w:line="360" w:lineRule="auto"/>
              <w:jc w:val="center"/>
              <w:rPr>
                <w:rFonts w:eastAsia="仿宋"/>
                <w:color w:val="auto"/>
                <w:szCs w:val="21"/>
              </w:rPr>
            </w:pPr>
          </w:p>
        </w:tc>
        <w:tc>
          <w:tcPr>
            <w:tcW w:w="1638" w:type="dxa"/>
            <w:vAlign w:val="center"/>
          </w:tcPr>
          <w:p w14:paraId="3449EB81">
            <w:pPr>
              <w:spacing w:line="360" w:lineRule="auto"/>
              <w:jc w:val="center"/>
              <w:rPr>
                <w:rFonts w:eastAsia="仿宋"/>
                <w:color w:val="auto"/>
                <w:szCs w:val="21"/>
              </w:rPr>
            </w:pPr>
            <w:r>
              <w:rPr>
                <w:rFonts w:eastAsia="仿宋"/>
                <w:color w:val="auto"/>
                <w:szCs w:val="21"/>
              </w:rPr>
              <w:t>7.76</w:t>
            </w:r>
          </w:p>
        </w:tc>
        <w:tc>
          <w:tcPr>
            <w:tcW w:w="1560" w:type="dxa"/>
            <w:vAlign w:val="center"/>
          </w:tcPr>
          <w:p w14:paraId="7B11DE8E">
            <w:pPr>
              <w:shd w:val="clear" w:color="auto" w:fill="FFFFFF"/>
              <w:spacing w:line="360" w:lineRule="auto"/>
              <w:jc w:val="center"/>
              <w:rPr>
                <w:rFonts w:eastAsia="仿宋"/>
                <w:color w:val="auto"/>
                <w:szCs w:val="21"/>
              </w:rPr>
            </w:pPr>
            <w:r>
              <w:rPr>
                <w:rFonts w:hint="eastAsia" w:eastAsia="仿宋"/>
                <w:color w:val="auto"/>
                <w:szCs w:val="21"/>
              </w:rPr>
              <w:t>7.23</w:t>
            </w:r>
          </w:p>
        </w:tc>
        <w:tc>
          <w:tcPr>
            <w:tcW w:w="1716" w:type="dxa"/>
            <w:vAlign w:val="center"/>
          </w:tcPr>
          <w:p w14:paraId="210C20DE">
            <w:pPr>
              <w:shd w:val="clear" w:color="auto" w:fill="FFFFFF"/>
              <w:spacing w:line="360" w:lineRule="auto"/>
              <w:jc w:val="center"/>
              <w:rPr>
                <w:rFonts w:eastAsia="仿宋"/>
                <w:color w:val="auto"/>
                <w:szCs w:val="21"/>
              </w:rPr>
            </w:pPr>
            <w:r>
              <w:rPr>
                <w:rFonts w:hint="eastAsia" w:eastAsia="仿宋"/>
                <w:color w:val="auto"/>
                <w:szCs w:val="21"/>
              </w:rPr>
              <w:t>93.2</w:t>
            </w:r>
          </w:p>
        </w:tc>
      </w:tr>
      <w:tr w14:paraId="41E6B0B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restart"/>
            <w:vAlign w:val="center"/>
          </w:tcPr>
          <w:p w14:paraId="3483AD61">
            <w:pPr>
              <w:shd w:val="clear" w:color="auto" w:fill="FFFFFF"/>
              <w:spacing w:line="360" w:lineRule="auto"/>
              <w:jc w:val="center"/>
              <w:rPr>
                <w:rFonts w:eastAsia="仿宋"/>
                <w:color w:val="auto"/>
                <w:szCs w:val="21"/>
              </w:rPr>
            </w:pPr>
            <w:r>
              <w:rPr>
                <w:rFonts w:eastAsia="仿宋"/>
                <w:color w:val="auto"/>
                <w:szCs w:val="21"/>
              </w:rPr>
              <w:t>1.9 mmol/L</w:t>
            </w:r>
            <w:r>
              <w:rPr>
                <w:rFonts w:hint="eastAsia" w:eastAsia="仿宋"/>
                <w:color w:val="auto"/>
                <w:szCs w:val="21"/>
              </w:rPr>
              <w:t xml:space="preserve"> Na</w:t>
            </w:r>
            <w:r>
              <w:rPr>
                <w:rFonts w:hint="eastAsia" w:eastAsia="仿宋"/>
                <w:color w:val="auto"/>
                <w:szCs w:val="21"/>
                <w:vertAlign w:val="subscript"/>
              </w:rPr>
              <w:t>2</w:t>
            </w:r>
            <w:r>
              <w:rPr>
                <w:rFonts w:hint="eastAsia" w:eastAsia="仿宋"/>
                <w:color w:val="auto"/>
                <w:szCs w:val="21"/>
              </w:rPr>
              <w:t>CO</w:t>
            </w:r>
            <w:r>
              <w:rPr>
                <w:rFonts w:hint="eastAsia" w:eastAsia="仿宋"/>
                <w:color w:val="auto"/>
                <w:szCs w:val="21"/>
                <w:vertAlign w:val="subscript"/>
              </w:rPr>
              <w:t>3</w:t>
            </w:r>
            <w:r>
              <w:rPr>
                <w:rFonts w:eastAsia="仿宋"/>
                <w:color w:val="auto"/>
                <w:szCs w:val="21"/>
              </w:rPr>
              <w:t xml:space="preserve">-0.6 mmol/L </w:t>
            </w:r>
            <w:r>
              <w:rPr>
                <w:rFonts w:hint="eastAsia" w:eastAsia="仿宋"/>
                <w:color w:val="auto"/>
                <w:szCs w:val="21"/>
              </w:rPr>
              <w:t>NaHCO</w:t>
            </w:r>
            <w:r>
              <w:rPr>
                <w:rFonts w:hint="eastAsia" w:eastAsia="仿宋"/>
                <w:color w:val="auto"/>
                <w:szCs w:val="21"/>
                <w:vertAlign w:val="subscript"/>
              </w:rPr>
              <w:t>3</w:t>
            </w:r>
          </w:p>
        </w:tc>
        <w:tc>
          <w:tcPr>
            <w:tcW w:w="1638" w:type="dxa"/>
            <w:vAlign w:val="center"/>
          </w:tcPr>
          <w:p w14:paraId="3E6CC694">
            <w:pPr>
              <w:spacing w:line="360" w:lineRule="auto"/>
              <w:jc w:val="center"/>
              <w:rPr>
                <w:rFonts w:eastAsia="仿宋"/>
                <w:color w:val="auto"/>
                <w:szCs w:val="21"/>
              </w:rPr>
            </w:pPr>
            <w:r>
              <w:rPr>
                <w:rFonts w:eastAsia="仿宋"/>
                <w:color w:val="auto"/>
                <w:szCs w:val="21"/>
              </w:rPr>
              <w:t>1.04</w:t>
            </w:r>
          </w:p>
        </w:tc>
        <w:tc>
          <w:tcPr>
            <w:tcW w:w="1560" w:type="dxa"/>
            <w:vAlign w:val="center"/>
          </w:tcPr>
          <w:p w14:paraId="00201365">
            <w:pPr>
              <w:shd w:val="clear" w:color="auto" w:fill="FFFFFF"/>
              <w:spacing w:line="360" w:lineRule="auto"/>
              <w:jc w:val="center"/>
              <w:rPr>
                <w:rFonts w:eastAsia="仿宋"/>
                <w:color w:val="auto"/>
                <w:szCs w:val="21"/>
              </w:rPr>
            </w:pPr>
            <w:r>
              <w:rPr>
                <w:rFonts w:hint="eastAsia" w:eastAsia="仿宋"/>
                <w:color w:val="auto"/>
                <w:szCs w:val="21"/>
              </w:rPr>
              <w:t>1.11</w:t>
            </w:r>
          </w:p>
        </w:tc>
        <w:tc>
          <w:tcPr>
            <w:tcW w:w="1716" w:type="dxa"/>
            <w:vAlign w:val="center"/>
          </w:tcPr>
          <w:p w14:paraId="558E2D67">
            <w:pPr>
              <w:shd w:val="clear" w:color="auto" w:fill="FFFFFF"/>
              <w:spacing w:line="360" w:lineRule="auto"/>
              <w:jc w:val="center"/>
              <w:rPr>
                <w:rFonts w:eastAsia="仿宋"/>
                <w:color w:val="auto"/>
                <w:szCs w:val="21"/>
              </w:rPr>
            </w:pPr>
            <w:r>
              <w:rPr>
                <w:rFonts w:hint="eastAsia" w:eastAsia="仿宋"/>
                <w:color w:val="auto"/>
                <w:szCs w:val="21"/>
              </w:rPr>
              <w:t>107</w:t>
            </w:r>
          </w:p>
        </w:tc>
      </w:tr>
      <w:tr w14:paraId="33877B0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vAlign w:val="center"/>
          </w:tcPr>
          <w:p w14:paraId="27178412">
            <w:pPr>
              <w:shd w:val="clear" w:color="auto" w:fill="FFFFFF"/>
              <w:spacing w:line="360" w:lineRule="auto"/>
              <w:jc w:val="center"/>
              <w:rPr>
                <w:rFonts w:eastAsia="仿宋"/>
                <w:color w:val="auto"/>
                <w:szCs w:val="21"/>
              </w:rPr>
            </w:pPr>
          </w:p>
        </w:tc>
        <w:tc>
          <w:tcPr>
            <w:tcW w:w="1638" w:type="dxa"/>
            <w:vAlign w:val="center"/>
          </w:tcPr>
          <w:p w14:paraId="491FA104">
            <w:pPr>
              <w:spacing w:line="360" w:lineRule="auto"/>
              <w:jc w:val="center"/>
              <w:rPr>
                <w:rFonts w:eastAsia="仿宋"/>
                <w:color w:val="auto"/>
                <w:szCs w:val="21"/>
              </w:rPr>
            </w:pPr>
            <w:r>
              <w:rPr>
                <w:rFonts w:eastAsia="仿宋"/>
                <w:color w:val="auto"/>
                <w:szCs w:val="21"/>
              </w:rPr>
              <w:t>5.18</w:t>
            </w:r>
          </w:p>
        </w:tc>
        <w:tc>
          <w:tcPr>
            <w:tcW w:w="1560" w:type="dxa"/>
            <w:vAlign w:val="center"/>
          </w:tcPr>
          <w:p w14:paraId="0066639F">
            <w:pPr>
              <w:shd w:val="clear" w:color="auto" w:fill="FFFFFF"/>
              <w:spacing w:line="360" w:lineRule="auto"/>
              <w:jc w:val="center"/>
              <w:rPr>
                <w:rFonts w:eastAsia="仿宋"/>
                <w:color w:val="auto"/>
                <w:szCs w:val="21"/>
              </w:rPr>
            </w:pPr>
            <w:r>
              <w:rPr>
                <w:rFonts w:hint="eastAsia" w:eastAsia="仿宋"/>
                <w:color w:val="auto"/>
                <w:szCs w:val="21"/>
              </w:rPr>
              <w:t>5.09</w:t>
            </w:r>
          </w:p>
        </w:tc>
        <w:tc>
          <w:tcPr>
            <w:tcW w:w="1716" w:type="dxa"/>
            <w:vAlign w:val="center"/>
          </w:tcPr>
          <w:p w14:paraId="1A499CEF">
            <w:pPr>
              <w:shd w:val="clear" w:color="auto" w:fill="FFFFFF"/>
              <w:spacing w:line="360" w:lineRule="auto"/>
              <w:jc w:val="center"/>
              <w:rPr>
                <w:rFonts w:eastAsia="仿宋"/>
                <w:color w:val="auto"/>
                <w:szCs w:val="21"/>
              </w:rPr>
            </w:pPr>
            <w:r>
              <w:rPr>
                <w:rFonts w:hint="eastAsia" w:eastAsia="仿宋"/>
                <w:color w:val="auto"/>
                <w:szCs w:val="21"/>
              </w:rPr>
              <w:t>98.3</w:t>
            </w:r>
          </w:p>
        </w:tc>
      </w:tr>
      <w:tr w14:paraId="3FAE8EF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vAlign w:val="center"/>
          </w:tcPr>
          <w:p w14:paraId="35F7E011">
            <w:pPr>
              <w:shd w:val="clear" w:color="auto" w:fill="FFFFFF"/>
              <w:spacing w:line="360" w:lineRule="auto"/>
              <w:jc w:val="center"/>
              <w:rPr>
                <w:rFonts w:eastAsia="仿宋"/>
                <w:color w:val="auto"/>
                <w:szCs w:val="21"/>
              </w:rPr>
            </w:pPr>
          </w:p>
        </w:tc>
        <w:tc>
          <w:tcPr>
            <w:tcW w:w="1638" w:type="dxa"/>
            <w:vAlign w:val="center"/>
          </w:tcPr>
          <w:p w14:paraId="47C42E43">
            <w:pPr>
              <w:spacing w:line="360" w:lineRule="auto"/>
              <w:jc w:val="center"/>
              <w:rPr>
                <w:rFonts w:eastAsia="仿宋"/>
                <w:color w:val="auto"/>
                <w:szCs w:val="21"/>
              </w:rPr>
            </w:pPr>
            <w:r>
              <w:rPr>
                <w:rFonts w:eastAsia="仿宋"/>
                <w:color w:val="auto"/>
                <w:szCs w:val="21"/>
              </w:rPr>
              <w:t>7.76</w:t>
            </w:r>
          </w:p>
        </w:tc>
        <w:tc>
          <w:tcPr>
            <w:tcW w:w="1560" w:type="dxa"/>
            <w:vAlign w:val="center"/>
          </w:tcPr>
          <w:p w14:paraId="690ADBA9">
            <w:pPr>
              <w:shd w:val="clear" w:color="auto" w:fill="FFFFFF"/>
              <w:spacing w:line="360" w:lineRule="auto"/>
              <w:jc w:val="center"/>
              <w:rPr>
                <w:rFonts w:eastAsia="仿宋"/>
                <w:color w:val="auto"/>
                <w:szCs w:val="21"/>
              </w:rPr>
            </w:pPr>
            <w:r>
              <w:rPr>
                <w:rFonts w:hint="eastAsia" w:eastAsia="仿宋"/>
                <w:color w:val="auto"/>
                <w:szCs w:val="21"/>
              </w:rPr>
              <w:t>7.51</w:t>
            </w:r>
          </w:p>
        </w:tc>
        <w:tc>
          <w:tcPr>
            <w:tcW w:w="1716" w:type="dxa"/>
            <w:vAlign w:val="center"/>
          </w:tcPr>
          <w:p w14:paraId="7C0FE251">
            <w:pPr>
              <w:shd w:val="clear" w:color="auto" w:fill="FFFFFF"/>
              <w:spacing w:line="360" w:lineRule="auto"/>
              <w:jc w:val="center"/>
              <w:rPr>
                <w:rFonts w:eastAsia="仿宋"/>
                <w:color w:val="auto"/>
                <w:szCs w:val="21"/>
              </w:rPr>
            </w:pPr>
            <w:r>
              <w:rPr>
                <w:rFonts w:hint="eastAsia" w:eastAsia="仿宋"/>
                <w:color w:val="auto"/>
                <w:szCs w:val="21"/>
              </w:rPr>
              <w:t>96.8</w:t>
            </w:r>
          </w:p>
        </w:tc>
      </w:tr>
      <w:tr w14:paraId="2B30B70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restart"/>
            <w:vAlign w:val="center"/>
          </w:tcPr>
          <w:p w14:paraId="2DC7E06D">
            <w:pPr>
              <w:shd w:val="clear" w:color="auto" w:fill="FFFFFF"/>
              <w:spacing w:line="360" w:lineRule="auto"/>
              <w:jc w:val="center"/>
              <w:rPr>
                <w:rFonts w:eastAsia="仿宋"/>
                <w:color w:val="auto"/>
                <w:szCs w:val="21"/>
                <w:vertAlign w:val="subscript"/>
              </w:rPr>
            </w:pPr>
            <w:r>
              <w:rPr>
                <w:rFonts w:eastAsia="仿宋"/>
                <w:color w:val="auto"/>
                <w:szCs w:val="21"/>
              </w:rPr>
              <w:t>1.9 mmol/L</w:t>
            </w:r>
            <w:r>
              <w:rPr>
                <w:rFonts w:hint="eastAsia" w:eastAsia="仿宋"/>
                <w:color w:val="auto"/>
                <w:szCs w:val="21"/>
              </w:rPr>
              <w:t xml:space="preserve"> Na</w:t>
            </w:r>
            <w:r>
              <w:rPr>
                <w:rFonts w:hint="eastAsia" w:eastAsia="仿宋"/>
                <w:color w:val="auto"/>
                <w:szCs w:val="21"/>
                <w:vertAlign w:val="subscript"/>
              </w:rPr>
              <w:t>2</w:t>
            </w:r>
            <w:r>
              <w:rPr>
                <w:rFonts w:hint="eastAsia" w:eastAsia="仿宋"/>
                <w:color w:val="auto"/>
                <w:szCs w:val="21"/>
              </w:rPr>
              <w:t>CO</w:t>
            </w:r>
            <w:r>
              <w:rPr>
                <w:rFonts w:hint="eastAsia" w:eastAsia="仿宋"/>
                <w:color w:val="auto"/>
                <w:szCs w:val="21"/>
                <w:vertAlign w:val="subscript"/>
              </w:rPr>
              <w:t>3</w:t>
            </w:r>
            <w:r>
              <w:rPr>
                <w:rFonts w:eastAsia="仿宋"/>
                <w:color w:val="auto"/>
                <w:szCs w:val="21"/>
              </w:rPr>
              <w:t xml:space="preserve">-0.6 mmol/L </w:t>
            </w:r>
            <w:r>
              <w:rPr>
                <w:rFonts w:hint="eastAsia" w:eastAsia="仿宋"/>
                <w:color w:val="auto"/>
                <w:szCs w:val="21"/>
              </w:rPr>
              <w:t>NaHCO</w:t>
            </w:r>
            <w:r>
              <w:rPr>
                <w:rFonts w:hint="eastAsia" w:eastAsia="仿宋"/>
                <w:color w:val="auto"/>
                <w:szCs w:val="21"/>
                <w:vertAlign w:val="subscript"/>
              </w:rPr>
              <w:t>3</w:t>
            </w:r>
          </w:p>
          <w:p w14:paraId="3CC6E181">
            <w:pPr>
              <w:shd w:val="clear" w:color="auto" w:fill="FFFFFF"/>
              <w:spacing w:line="360" w:lineRule="auto"/>
              <w:jc w:val="center"/>
              <w:rPr>
                <w:rFonts w:eastAsia="仿宋"/>
                <w:color w:val="auto"/>
                <w:szCs w:val="21"/>
                <w:vertAlign w:val="subscript"/>
              </w:rPr>
            </w:pPr>
            <w:r>
              <w:rPr>
                <w:rFonts w:hint="eastAsia" w:eastAsia="仿宋"/>
                <w:color w:val="auto"/>
                <w:szCs w:val="21"/>
              </w:rPr>
              <w:t>(含5%甲醇)</w:t>
            </w:r>
          </w:p>
        </w:tc>
        <w:tc>
          <w:tcPr>
            <w:tcW w:w="1638" w:type="dxa"/>
            <w:vAlign w:val="center"/>
          </w:tcPr>
          <w:p w14:paraId="22EBE4FD">
            <w:pPr>
              <w:spacing w:line="360" w:lineRule="auto"/>
              <w:jc w:val="center"/>
              <w:rPr>
                <w:rFonts w:eastAsia="仿宋"/>
                <w:color w:val="auto"/>
                <w:szCs w:val="21"/>
              </w:rPr>
            </w:pPr>
            <w:r>
              <w:rPr>
                <w:rFonts w:eastAsia="仿宋"/>
                <w:color w:val="auto"/>
                <w:szCs w:val="21"/>
              </w:rPr>
              <w:t>1.04</w:t>
            </w:r>
          </w:p>
        </w:tc>
        <w:tc>
          <w:tcPr>
            <w:tcW w:w="1560" w:type="dxa"/>
            <w:vAlign w:val="center"/>
          </w:tcPr>
          <w:p w14:paraId="27457431">
            <w:pPr>
              <w:shd w:val="clear" w:color="auto" w:fill="FFFFFF"/>
              <w:spacing w:line="360" w:lineRule="auto"/>
              <w:jc w:val="center"/>
              <w:rPr>
                <w:rFonts w:eastAsia="仿宋"/>
                <w:color w:val="auto"/>
                <w:szCs w:val="21"/>
              </w:rPr>
            </w:pPr>
            <w:r>
              <w:rPr>
                <w:rFonts w:hint="eastAsia" w:eastAsia="仿宋"/>
                <w:color w:val="auto"/>
                <w:szCs w:val="21"/>
              </w:rPr>
              <w:t>0.97</w:t>
            </w:r>
          </w:p>
        </w:tc>
        <w:tc>
          <w:tcPr>
            <w:tcW w:w="1716" w:type="dxa"/>
            <w:vAlign w:val="center"/>
          </w:tcPr>
          <w:p w14:paraId="4E4D06C5">
            <w:pPr>
              <w:shd w:val="clear" w:color="auto" w:fill="FFFFFF"/>
              <w:spacing w:line="360" w:lineRule="auto"/>
              <w:jc w:val="center"/>
              <w:rPr>
                <w:rFonts w:eastAsia="仿宋"/>
                <w:color w:val="auto"/>
                <w:szCs w:val="21"/>
              </w:rPr>
            </w:pPr>
            <w:r>
              <w:rPr>
                <w:rFonts w:hint="eastAsia" w:eastAsia="仿宋"/>
                <w:color w:val="auto"/>
                <w:szCs w:val="21"/>
              </w:rPr>
              <w:t>93.4</w:t>
            </w:r>
          </w:p>
        </w:tc>
      </w:tr>
      <w:tr w14:paraId="453AD44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vAlign w:val="center"/>
          </w:tcPr>
          <w:p w14:paraId="6D88922D">
            <w:pPr>
              <w:shd w:val="clear" w:color="auto" w:fill="FFFFFF"/>
              <w:spacing w:line="360" w:lineRule="auto"/>
              <w:jc w:val="center"/>
              <w:rPr>
                <w:rFonts w:eastAsia="仿宋"/>
                <w:color w:val="auto"/>
                <w:szCs w:val="21"/>
              </w:rPr>
            </w:pPr>
          </w:p>
        </w:tc>
        <w:tc>
          <w:tcPr>
            <w:tcW w:w="1638" w:type="dxa"/>
            <w:vAlign w:val="center"/>
          </w:tcPr>
          <w:p w14:paraId="230F7B08">
            <w:pPr>
              <w:spacing w:line="360" w:lineRule="auto"/>
              <w:jc w:val="center"/>
              <w:rPr>
                <w:rFonts w:eastAsia="仿宋"/>
                <w:color w:val="auto"/>
                <w:szCs w:val="21"/>
              </w:rPr>
            </w:pPr>
            <w:r>
              <w:rPr>
                <w:rFonts w:eastAsia="仿宋"/>
                <w:color w:val="auto"/>
                <w:szCs w:val="21"/>
              </w:rPr>
              <w:t>5.18</w:t>
            </w:r>
          </w:p>
        </w:tc>
        <w:tc>
          <w:tcPr>
            <w:tcW w:w="1560" w:type="dxa"/>
            <w:vAlign w:val="center"/>
          </w:tcPr>
          <w:p w14:paraId="48DA70A5">
            <w:pPr>
              <w:shd w:val="clear" w:color="auto" w:fill="FFFFFF"/>
              <w:spacing w:line="360" w:lineRule="auto"/>
              <w:jc w:val="center"/>
              <w:rPr>
                <w:rFonts w:eastAsia="仿宋"/>
                <w:color w:val="auto"/>
                <w:szCs w:val="21"/>
              </w:rPr>
            </w:pPr>
            <w:r>
              <w:rPr>
                <w:rFonts w:hint="eastAsia" w:eastAsia="仿宋"/>
                <w:color w:val="auto"/>
                <w:szCs w:val="21"/>
              </w:rPr>
              <w:t>4.93</w:t>
            </w:r>
          </w:p>
        </w:tc>
        <w:tc>
          <w:tcPr>
            <w:tcW w:w="1716" w:type="dxa"/>
            <w:vAlign w:val="center"/>
          </w:tcPr>
          <w:p w14:paraId="03F2F612">
            <w:pPr>
              <w:shd w:val="clear" w:color="auto" w:fill="FFFFFF"/>
              <w:spacing w:line="360" w:lineRule="auto"/>
              <w:jc w:val="center"/>
              <w:rPr>
                <w:rFonts w:eastAsia="仿宋"/>
                <w:color w:val="auto"/>
                <w:szCs w:val="21"/>
              </w:rPr>
            </w:pPr>
            <w:r>
              <w:rPr>
                <w:rFonts w:hint="eastAsia" w:eastAsia="仿宋"/>
                <w:color w:val="auto"/>
                <w:szCs w:val="21"/>
              </w:rPr>
              <w:t>95.2</w:t>
            </w:r>
          </w:p>
        </w:tc>
      </w:tr>
      <w:tr w14:paraId="1742A67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tcBorders>
              <w:bottom w:val="single" w:color="auto" w:sz="12" w:space="0"/>
            </w:tcBorders>
            <w:vAlign w:val="center"/>
          </w:tcPr>
          <w:p w14:paraId="17D2B766">
            <w:pPr>
              <w:shd w:val="clear" w:color="auto" w:fill="FFFFFF"/>
              <w:spacing w:line="360" w:lineRule="auto"/>
              <w:jc w:val="center"/>
              <w:rPr>
                <w:rFonts w:eastAsia="仿宋"/>
                <w:color w:val="auto"/>
                <w:szCs w:val="21"/>
              </w:rPr>
            </w:pPr>
          </w:p>
        </w:tc>
        <w:tc>
          <w:tcPr>
            <w:tcW w:w="1638" w:type="dxa"/>
            <w:tcBorders>
              <w:bottom w:val="single" w:color="auto" w:sz="12" w:space="0"/>
            </w:tcBorders>
            <w:vAlign w:val="center"/>
          </w:tcPr>
          <w:p w14:paraId="12769DCF">
            <w:pPr>
              <w:spacing w:line="360" w:lineRule="auto"/>
              <w:jc w:val="center"/>
              <w:rPr>
                <w:rFonts w:eastAsia="仿宋"/>
                <w:color w:val="auto"/>
                <w:szCs w:val="21"/>
              </w:rPr>
            </w:pPr>
            <w:r>
              <w:rPr>
                <w:rFonts w:eastAsia="仿宋"/>
                <w:color w:val="auto"/>
                <w:szCs w:val="21"/>
              </w:rPr>
              <w:t>7.76</w:t>
            </w:r>
          </w:p>
        </w:tc>
        <w:tc>
          <w:tcPr>
            <w:tcW w:w="1560" w:type="dxa"/>
            <w:tcBorders>
              <w:bottom w:val="single" w:color="auto" w:sz="12" w:space="0"/>
            </w:tcBorders>
            <w:vAlign w:val="center"/>
          </w:tcPr>
          <w:p w14:paraId="2467289D">
            <w:pPr>
              <w:shd w:val="clear" w:color="auto" w:fill="FFFFFF"/>
              <w:spacing w:line="360" w:lineRule="auto"/>
              <w:jc w:val="center"/>
              <w:rPr>
                <w:rFonts w:eastAsia="仿宋"/>
                <w:color w:val="auto"/>
                <w:szCs w:val="21"/>
              </w:rPr>
            </w:pPr>
            <w:r>
              <w:rPr>
                <w:rFonts w:hint="eastAsia" w:eastAsia="仿宋"/>
                <w:color w:val="auto"/>
                <w:szCs w:val="21"/>
              </w:rPr>
              <w:t>7.31</w:t>
            </w:r>
          </w:p>
        </w:tc>
        <w:tc>
          <w:tcPr>
            <w:tcW w:w="1716" w:type="dxa"/>
            <w:tcBorders>
              <w:bottom w:val="single" w:color="auto" w:sz="12" w:space="0"/>
            </w:tcBorders>
            <w:vAlign w:val="center"/>
          </w:tcPr>
          <w:p w14:paraId="5F3CE33D">
            <w:pPr>
              <w:shd w:val="clear" w:color="auto" w:fill="FFFFFF"/>
              <w:spacing w:line="360" w:lineRule="auto"/>
              <w:jc w:val="center"/>
              <w:rPr>
                <w:rFonts w:eastAsia="仿宋"/>
                <w:color w:val="auto"/>
                <w:szCs w:val="21"/>
              </w:rPr>
            </w:pPr>
            <w:r>
              <w:rPr>
                <w:rFonts w:hint="eastAsia" w:eastAsia="仿宋"/>
                <w:color w:val="auto"/>
                <w:szCs w:val="21"/>
              </w:rPr>
              <w:t>94.2</w:t>
            </w:r>
          </w:p>
        </w:tc>
      </w:tr>
    </w:tbl>
    <w:p w14:paraId="7035F9D2">
      <w:pPr>
        <w:shd w:val="clear" w:color="auto" w:fill="FFFFFF"/>
        <w:spacing w:line="360" w:lineRule="auto"/>
        <w:rPr>
          <w:rFonts w:eastAsia="仿宋"/>
          <w:color w:val="auto"/>
          <w:szCs w:val="21"/>
        </w:rPr>
      </w:pPr>
    </w:p>
    <w:p w14:paraId="47A2AC3A">
      <w:pPr>
        <w:shd w:val="clear" w:color="auto" w:fill="FFFFFF"/>
        <w:spacing w:line="360" w:lineRule="auto"/>
        <w:jc w:val="center"/>
        <w:rPr>
          <w:rFonts w:eastAsia="仿宋"/>
          <w:color w:val="auto"/>
          <w:szCs w:val="21"/>
        </w:rPr>
      </w:pPr>
      <w:r>
        <w:rPr>
          <w:rFonts w:eastAsia="仿宋"/>
          <w:color w:val="auto"/>
          <w:szCs w:val="21"/>
        </w:rPr>
        <w:t>表</w:t>
      </w:r>
      <w:r>
        <w:rPr>
          <w:rFonts w:hint="eastAsia" w:eastAsia="仿宋"/>
          <w:color w:val="auto"/>
          <w:szCs w:val="21"/>
          <w:lang w:val="en-US" w:eastAsia="zh-CN"/>
        </w:rPr>
        <w:t>3</w:t>
      </w:r>
      <w:r>
        <w:rPr>
          <w:rFonts w:eastAsia="仿宋"/>
          <w:color w:val="auto"/>
          <w:szCs w:val="21"/>
        </w:rPr>
        <w:t xml:space="preserve"> 洗脱</w:t>
      </w:r>
      <w:r>
        <w:rPr>
          <w:rFonts w:hint="eastAsia" w:eastAsia="仿宋"/>
          <w:color w:val="auto"/>
          <w:szCs w:val="21"/>
        </w:rPr>
        <w:t>溶剂对回收率的影响</w:t>
      </w:r>
      <w:r>
        <w:rPr>
          <w:rFonts w:eastAsia="仿宋"/>
          <w:color w:val="auto"/>
          <w:szCs w:val="21"/>
        </w:rPr>
        <w:t>（n=6）</w:t>
      </w:r>
    </w:p>
    <w:tbl>
      <w:tblPr>
        <w:tblStyle w:val="22"/>
        <w:tblW w:w="8741"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27"/>
        <w:gridCol w:w="1638"/>
        <w:gridCol w:w="1560"/>
        <w:gridCol w:w="1716"/>
      </w:tblGrid>
      <w:tr w14:paraId="67A325C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tcBorders>
              <w:bottom w:val="single" w:color="auto" w:sz="12" w:space="0"/>
            </w:tcBorders>
            <w:vAlign w:val="center"/>
          </w:tcPr>
          <w:p w14:paraId="04A283FF">
            <w:pPr>
              <w:shd w:val="clear" w:color="auto" w:fill="FFFFFF"/>
              <w:spacing w:line="360" w:lineRule="auto"/>
              <w:jc w:val="center"/>
              <w:rPr>
                <w:rFonts w:eastAsia="仿宋"/>
                <w:color w:val="auto"/>
                <w:szCs w:val="21"/>
              </w:rPr>
            </w:pPr>
            <w:r>
              <w:rPr>
                <w:rFonts w:eastAsia="仿宋"/>
                <w:color w:val="auto"/>
                <w:szCs w:val="21"/>
              </w:rPr>
              <w:t>洗脱</w:t>
            </w:r>
            <w:r>
              <w:rPr>
                <w:rFonts w:hint="eastAsia" w:eastAsia="仿宋"/>
                <w:color w:val="auto"/>
                <w:szCs w:val="21"/>
              </w:rPr>
              <w:t>溶剂</w:t>
            </w:r>
          </w:p>
        </w:tc>
        <w:tc>
          <w:tcPr>
            <w:tcW w:w="1638" w:type="dxa"/>
            <w:tcBorders>
              <w:bottom w:val="single" w:color="auto" w:sz="12" w:space="0"/>
            </w:tcBorders>
            <w:vAlign w:val="center"/>
          </w:tcPr>
          <w:p w14:paraId="2554ABB2">
            <w:pPr>
              <w:shd w:val="clear" w:color="auto" w:fill="FFFFFF"/>
              <w:spacing w:line="360" w:lineRule="auto"/>
              <w:jc w:val="center"/>
              <w:rPr>
                <w:rFonts w:eastAsia="仿宋"/>
                <w:color w:val="auto"/>
                <w:szCs w:val="21"/>
              </w:rPr>
            </w:pPr>
            <w:r>
              <w:rPr>
                <w:rFonts w:eastAsia="仿宋"/>
                <w:color w:val="auto"/>
                <w:szCs w:val="21"/>
              </w:rPr>
              <w:t>加入量（μg）</w:t>
            </w:r>
          </w:p>
        </w:tc>
        <w:tc>
          <w:tcPr>
            <w:tcW w:w="1560" w:type="dxa"/>
            <w:tcBorders>
              <w:bottom w:val="single" w:color="auto" w:sz="12" w:space="0"/>
            </w:tcBorders>
            <w:vAlign w:val="center"/>
          </w:tcPr>
          <w:p w14:paraId="2E4FDD53">
            <w:pPr>
              <w:shd w:val="clear" w:color="auto" w:fill="FFFFFF"/>
              <w:spacing w:line="360" w:lineRule="auto"/>
              <w:jc w:val="center"/>
              <w:rPr>
                <w:rFonts w:eastAsia="仿宋"/>
                <w:color w:val="auto"/>
                <w:szCs w:val="21"/>
              </w:rPr>
            </w:pPr>
            <w:r>
              <w:rPr>
                <w:rFonts w:eastAsia="仿宋"/>
                <w:color w:val="auto"/>
                <w:szCs w:val="21"/>
              </w:rPr>
              <w:t>平均值（μg）</w:t>
            </w:r>
          </w:p>
        </w:tc>
        <w:tc>
          <w:tcPr>
            <w:tcW w:w="1716" w:type="dxa"/>
            <w:tcBorders>
              <w:bottom w:val="single" w:color="auto" w:sz="12" w:space="0"/>
            </w:tcBorders>
            <w:vAlign w:val="center"/>
          </w:tcPr>
          <w:p w14:paraId="40AAB6C6">
            <w:pPr>
              <w:shd w:val="clear" w:color="auto" w:fill="FFFFFF"/>
              <w:spacing w:line="360" w:lineRule="auto"/>
              <w:jc w:val="center"/>
              <w:rPr>
                <w:rFonts w:eastAsia="仿宋"/>
                <w:color w:val="auto"/>
                <w:szCs w:val="21"/>
              </w:rPr>
            </w:pPr>
            <w:r>
              <w:rPr>
                <w:rFonts w:hint="eastAsia" w:eastAsia="仿宋"/>
                <w:color w:val="auto"/>
                <w:szCs w:val="21"/>
              </w:rPr>
              <w:t>回收</w:t>
            </w:r>
            <w:r>
              <w:rPr>
                <w:rFonts w:eastAsia="仿宋"/>
                <w:color w:val="auto"/>
                <w:szCs w:val="21"/>
              </w:rPr>
              <w:t>率（%）</w:t>
            </w:r>
          </w:p>
        </w:tc>
      </w:tr>
      <w:tr w14:paraId="6879A98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restart"/>
            <w:tcBorders>
              <w:top w:val="single" w:color="auto" w:sz="12" w:space="0"/>
            </w:tcBorders>
            <w:vAlign w:val="center"/>
          </w:tcPr>
          <w:p w14:paraId="3CB77B91">
            <w:pPr>
              <w:shd w:val="clear" w:color="auto" w:fill="FFFFFF"/>
              <w:spacing w:line="360" w:lineRule="auto"/>
              <w:jc w:val="center"/>
              <w:rPr>
                <w:rFonts w:eastAsia="仿宋"/>
                <w:color w:val="auto"/>
                <w:szCs w:val="21"/>
              </w:rPr>
            </w:pPr>
            <w:r>
              <w:rPr>
                <w:rFonts w:hint="eastAsia" w:eastAsia="仿宋"/>
                <w:color w:val="auto"/>
                <w:szCs w:val="21"/>
              </w:rPr>
              <w:t>纯水</w:t>
            </w:r>
          </w:p>
        </w:tc>
        <w:tc>
          <w:tcPr>
            <w:tcW w:w="1638" w:type="dxa"/>
            <w:tcBorders>
              <w:top w:val="single" w:color="auto" w:sz="12" w:space="0"/>
            </w:tcBorders>
            <w:vAlign w:val="center"/>
          </w:tcPr>
          <w:p w14:paraId="6A5B64CD">
            <w:pPr>
              <w:spacing w:line="360" w:lineRule="auto"/>
              <w:jc w:val="center"/>
              <w:rPr>
                <w:rFonts w:eastAsia="仿宋"/>
                <w:color w:val="auto"/>
                <w:szCs w:val="21"/>
              </w:rPr>
            </w:pPr>
            <w:r>
              <w:rPr>
                <w:rFonts w:hint="eastAsia" w:eastAsia="仿宋"/>
                <w:color w:val="auto"/>
                <w:szCs w:val="21"/>
              </w:rPr>
              <w:t>0.78</w:t>
            </w:r>
          </w:p>
        </w:tc>
        <w:tc>
          <w:tcPr>
            <w:tcW w:w="1560" w:type="dxa"/>
            <w:tcBorders>
              <w:top w:val="single" w:color="auto" w:sz="12" w:space="0"/>
            </w:tcBorders>
            <w:vAlign w:val="center"/>
          </w:tcPr>
          <w:p w14:paraId="1459ECC9">
            <w:pPr>
              <w:shd w:val="clear" w:color="auto" w:fill="FFFFFF"/>
              <w:spacing w:line="360" w:lineRule="auto"/>
              <w:jc w:val="center"/>
              <w:rPr>
                <w:rFonts w:eastAsia="仿宋"/>
                <w:color w:val="auto"/>
                <w:szCs w:val="21"/>
              </w:rPr>
            </w:pPr>
            <w:r>
              <w:rPr>
                <w:rFonts w:hint="eastAsia" w:eastAsia="仿宋"/>
                <w:color w:val="auto"/>
                <w:szCs w:val="21"/>
              </w:rPr>
              <w:t>0.81</w:t>
            </w:r>
          </w:p>
        </w:tc>
        <w:tc>
          <w:tcPr>
            <w:tcW w:w="1716" w:type="dxa"/>
            <w:tcBorders>
              <w:top w:val="single" w:color="auto" w:sz="12" w:space="0"/>
            </w:tcBorders>
            <w:vAlign w:val="center"/>
          </w:tcPr>
          <w:p w14:paraId="149259E7">
            <w:pPr>
              <w:shd w:val="clear" w:color="auto" w:fill="FFFFFF"/>
              <w:spacing w:line="360" w:lineRule="auto"/>
              <w:jc w:val="center"/>
              <w:rPr>
                <w:rFonts w:eastAsia="仿宋"/>
                <w:color w:val="auto"/>
                <w:szCs w:val="21"/>
              </w:rPr>
            </w:pPr>
            <w:r>
              <w:rPr>
                <w:rFonts w:hint="eastAsia" w:eastAsia="仿宋"/>
                <w:color w:val="auto"/>
                <w:szCs w:val="21"/>
              </w:rPr>
              <w:t>104</w:t>
            </w:r>
          </w:p>
        </w:tc>
      </w:tr>
      <w:tr w14:paraId="68D215F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vAlign w:val="center"/>
          </w:tcPr>
          <w:p w14:paraId="233599E5">
            <w:pPr>
              <w:shd w:val="clear" w:color="auto" w:fill="FFFFFF"/>
              <w:spacing w:line="360" w:lineRule="auto"/>
              <w:jc w:val="center"/>
              <w:rPr>
                <w:rFonts w:eastAsia="仿宋"/>
                <w:color w:val="auto"/>
                <w:szCs w:val="21"/>
              </w:rPr>
            </w:pPr>
          </w:p>
        </w:tc>
        <w:tc>
          <w:tcPr>
            <w:tcW w:w="1638" w:type="dxa"/>
            <w:vAlign w:val="center"/>
          </w:tcPr>
          <w:p w14:paraId="3E0B7CA7">
            <w:pPr>
              <w:spacing w:line="360" w:lineRule="auto"/>
              <w:jc w:val="center"/>
              <w:rPr>
                <w:rFonts w:eastAsia="仿宋"/>
                <w:color w:val="auto"/>
                <w:szCs w:val="21"/>
              </w:rPr>
            </w:pPr>
            <w:r>
              <w:rPr>
                <w:rFonts w:eastAsia="仿宋"/>
                <w:color w:val="auto"/>
                <w:szCs w:val="21"/>
              </w:rPr>
              <w:t>5.18</w:t>
            </w:r>
          </w:p>
        </w:tc>
        <w:tc>
          <w:tcPr>
            <w:tcW w:w="1560" w:type="dxa"/>
            <w:vAlign w:val="center"/>
          </w:tcPr>
          <w:p w14:paraId="661E4872">
            <w:pPr>
              <w:shd w:val="clear" w:color="auto" w:fill="FFFFFF"/>
              <w:spacing w:line="360" w:lineRule="auto"/>
              <w:jc w:val="center"/>
              <w:rPr>
                <w:rFonts w:eastAsia="仿宋"/>
                <w:color w:val="auto"/>
                <w:szCs w:val="21"/>
              </w:rPr>
            </w:pPr>
            <w:r>
              <w:rPr>
                <w:rFonts w:hint="eastAsia" w:eastAsia="仿宋"/>
                <w:color w:val="auto"/>
                <w:szCs w:val="21"/>
              </w:rPr>
              <w:t>5.02</w:t>
            </w:r>
          </w:p>
        </w:tc>
        <w:tc>
          <w:tcPr>
            <w:tcW w:w="1716" w:type="dxa"/>
            <w:vAlign w:val="center"/>
          </w:tcPr>
          <w:p w14:paraId="4C224D64">
            <w:pPr>
              <w:shd w:val="clear" w:color="auto" w:fill="FFFFFF"/>
              <w:spacing w:line="360" w:lineRule="auto"/>
              <w:jc w:val="center"/>
              <w:rPr>
                <w:rFonts w:eastAsia="仿宋"/>
                <w:color w:val="auto"/>
                <w:szCs w:val="21"/>
              </w:rPr>
            </w:pPr>
            <w:r>
              <w:rPr>
                <w:rFonts w:hint="eastAsia" w:eastAsia="仿宋"/>
                <w:color w:val="auto"/>
                <w:szCs w:val="21"/>
              </w:rPr>
              <w:t>97.0</w:t>
            </w:r>
          </w:p>
        </w:tc>
      </w:tr>
      <w:tr w14:paraId="4AF1DC5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vAlign w:val="center"/>
          </w:tcPr>
          <w:p w14:paraId="076454D5">
            <w:pPr>
              <w:shd w:val="clear" w:color="auto" w:fill="FFFFFF"/>
              <w:spacing w:line="360" w:lineRule="auto"/>
              <w:jc w:val="center"/>
              <w:rPr>
                <w:rFonts w:eastAsia="仿宋"/>
                <w:color w:val="auto"/>
                <w:szCs w:val="21"/>
              </w:rPr>
            </w:pPr>
          </w:p>
        </w:tc>
        <w:tc>
          <w:tcPr>
            <w:tcW w:w="1638" w:type="dxa"/>
            <w:vAlign w:val="center"/>
          </w:tcPr>
          <w:p w14:paraId="062C407C">
            <w:pPr>
              <w:spacing w:line="360" w:lineRule="auto"/>
              <w:jc w:val="center"/>
              <w:rPr>
                <w:rFonts w:eastAsia="仿宋"/>
                <w:color w:val="auto"/>
                <w:szCs w:val="21"/>
              </w:rPr>
            </w:pPr>
            <w:r>
              <w:rPr>
                <w:rFonts w:eastAsia="仿宋"/>
                <w:color w:val="auto"/>
                <w:szCs w:val="21"/>
              </w:rPr>
              <w:t>7.76</w:t>
            </w:r>
          </w:p>
        </w:tc>
        <w:tc>
          <w:tcPr>
            <w:tcW w:w="1560" w:type="dxa"/>
            <w:vAlign w:val="center"/>
          </w:tcPr>
          <w:p w14:paraId="11079F35">
            <w:pPr>
              <w:shd w:val="clear" w:color="auto" w:fill="FFFFFF"/>
              <w:spacing w:line="360" w:lineRule="auto"/>
              <w:jc w:val="center"/>
              <w:rPr>
                <w:rFonts w:eastAsia="仿宋"/>
                <w:color w:val="auto"/>
                <w:szCs w:val="21"/>
              </w:rPr>
            </w:pPr>
            <w:r>
              <w:rPr>
                <w:rFonts w:hint="eastAsia" w:eastAsia="仿宋"/>
                <w:color w:val="auto"/>
                <w:szCs w:val="21"/>
              </w:rPr>
              <w:t>7.49</w:t>
            </w:r>
          </w:p>
        </w:tc>
        <w:tc>
          <w:tcPr>
            <w:tcW w:w="1716" w:type="dxa"/>
            <w:vAlign w:val="center"/>
          </w:tcPr>
          <w:p w14:paraId="10445C2F">
            <w:pPr>
              <w:shd w:val="clear" w:color="auto" w:fill="FFFFFF"/>
              <w:spacing w:line="360" w:lineRule="auto"/>
              <w:jc w:val="center"/>
              <w:rPr>
                <w:rFonts w:eastAsia="仿宋"/>
                <w:color w:val="auto"/>
                <w:szCs w:val="21"/>
              </w:rPr>
            </w:pPr>
            <w:r>
              <w:rPr>
                <w:rFonts w:hint="eastAsia" w:eastAsia="仿宋"/>
                <w:color w:val="auto"/>
                <w:szCs w:val="21"/>
              </w:rPr>
              <w:t>96.5</w:t>
            </w:r>
          </w:p>
        </w:tc>
      </w:tr>
      <w:tr w14:paraId="5457EDB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restart"/>
            <w:vAlign w:val="center"/>
          </w:tcPr>
          <w:p w14:paraId="70F15CDE">
            <w:pPr>
              <w:shd w:val="clear" w:color="auto" w:fill="FFFFFF"/>
              <w:spacing w:line="360" w:lineRule="auto"/>
              <w:jc w:val="center"/>
              <w:rPr>
                <w:rFonts w:eastAsia="仿宋"/>
                <w:color w:val="auto"/>
                <w:szCs w:val="21"/>
              </w:rPr>
            </w:pPr>
            <w:r>
              <w:rPr>
                <w:rFonts w:eastAsia="仿宋"/>
                <w:color w:val="auto"/>
                <w:szCs w:val="21"/>
              </w:rPr>
              <w:t>1.9 mmol/L</w:t>
            </w:r>
            <w:r>
              <w:rPr>
                <w:rFonts w:hint="eastAsia" w:eastAsia="仿宋"/>
                <w:color w:val="auto"/>
                <w:szCs w:val="21"/>
              </w:rPr>
              <w:t xml:space="preserve"> Na</w:t>
            </w:r>
            <w:r>
              <w:rPr>
                <w:rFonts w:hint="eastAsia" w:eastAsia="仿宋"/>
                <w:color w:val="auto"/>
                <w:szCs w:val="21"/>
                <w:vertAlign w:val="subscript"/>
              </w:rPr>
              <w:t>2</w:t>
            </w:r>
            <w:r>
              <w:rPr>
                <w:rFonts w:hint="eastAsia" w:eastAsia="仿宋"/>
                <w:color w:val="auto"/>
                <w:szCs w:val="21"/>
              </w:rPr>
              <w:t>CO</w:t>
            </w:r>
            <w:r>
              <w:rPr>
                <w:rFonts w:hint="eastAsia" w:eastAsia="仿宋"/>
                <w:color w:val="auto"/>
                <w:szCs w:val="21"/>
                <w:vertAlign w:val="subscript"/>
              </w:rPr>
              <w:t>3</w:t>
            </w:r>
            <w:r>
              <w:rPr>
                <w:rFonts w:eastAsia="仿宋"/>
                <w:color w:val="auto"/>
                <w:szCs w:val="21"/>
              </w:rPr>
              <w:t xml:space="preserve">-0.6 mmol/L </w:t>
            </w:r>
            <w:r>
              <w:rPr>
                <w:rFonts w:hint="eastAsia" w:eastAsia="仿宋"/>
                <w:color w:val="auto"/>
                <w:szCs w:val="21"/>
              </w:rPr>
              <w:t>NaHCO</w:t>
            </w:r>
            <w:r>
              <w:rPr>
                <w:rFonts w:hint="eastAsia" w:eastAsia="仿宋"/>
                <w:color w:val="auto"/>
                <w:szCs w:val="21"/>
                <w:vertAlign w:val="subscript"/>
              </w:rPr>
              <w:t>3</w:t>
            </w:r>
          </w:p>
        </w:tc>
        <w:tc>
          <w:tcPr>
            <w:tcW w:w="1638" w:type="dxa"/>
            <w:vAlign w:val="center"/>
          </w:tcPr>
          <w:p w14:paraId="1B2E2533">
            <w:pPr>
              <w:spacing w:line="360" w:lineRule="auto"/>
              <w:jc w:val="center"/>
              <w:rPr>
                <w:rFonts w:eastAsia="仿宋"/>
                <w:color w:val="auto"/>
                <w:szCs w:val="21"/>
              </w:rPr>
            </w:pPr>
            <w:r>
              <w:rPr>
                <w:rFonts w:hint="eastAsia" w:eastAsia="仿宋"/>
                <w:color w:val="auto"/>
                <w:szCs w:val="21"/>
              </w:rPr>
              <w:t>0.78</w:t>
            </w:r>
          </w:p>
        </w:tc>
        <w:tc>
          <w:tcPr>
            <w:tcW w:w="1560" w:type="dxa"/>
            <w:vAlign w:val="center"/>
          </w:tcPr>
          <w:p w14:paraId="075FAB6C">
            <w:pPr>
              <w:shd w:val="clear" w:color="auto" w:fill="FFFFFF"/>
              <w:spacing w:line="360" w:lineRule="auto"/>
              <w:jc w:val="center"/>
              <w:rPr>
                <w:rFonts w:eastAsia="仿宋"/>
                <w:color w:val="auto"/>
                <w:szCs w:val="21"/>
              </w:rPr>
            </w:pPr>
            <w:r>
              <w:rPr>
                <w:rFonts w:hint="eastAsia" w:eastAsia="仿宋"/>
                <w:color w:val="auto"/>
                <w:szCs w:val="21"/>
              </w:rPr>
              <w:t>0.84</w:t>
            </w:r>
          </w:p>
        </w:tc>
        <w:tc>
          <w:tcPr>
            <w:tcW w:w="1716" w:type="dxa"/>
            <w:vAlign w:val="center"/>
          </w:tcPr>
          <w:p w14:paraId="766B1588">
            <w:pPr>
              <w:shd w:val="clear" w:color="auto" w:fill="FFFFFF"/>
              <w:spacing w:line="360" w:lineRule="auto"/>
              <w:jc w:val="center"/>
              <w:rPr>
                <w:rFonts w:eastAsia="仿宋"/>
                <w:color w:val="auto"/>
                <w:szCs w:val="21"/>
              </w:rPr>
            </w:pPr>
            <w:r>
              <w:rPr>
                <w:rFonts w:hint="eastAsia" w:eastAsia="仿宋"/>
                <w:color w:val="auto"/>
                <w:szCs w:val="21"/>
              </w:rPr>
              <w:t>108</w:t>
            </w:r>
          </w:p>
        </w:tc>
      </w:tr>
      <w:tr w14:paraId="12EDED6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vAlign w:val="center"/>
          </w:tcPr>
          <w:p w14:paraId="0ADC38CD">
            <w:pPr>
              <w:shd w:val="clear" w:color="auto" w:fill="FFFFFF"/>
              <w:spacing w:line="360" w:lineRule="auto"/>
              <w:jc w:val="center"/>
              <w:rPr>
                <w:rFonts w:eastAsia="仿宋"/>
                <w:color w:val="auto"/>
                <w:szCs w:val="21"/>
              </w:rPr>
            </w:pPr>
          </w:p>
        </w:tc>
        <w:tc>
          <w:tcPr>
            <w:tcW w:w="1638" w:type="dxa"/>
            <w:vAlign w:val="center"/>
          </w:tcPr>
          <w:p w14:paraId="37A86379">
            <w:pPr>
              <w:spacing w:line="360" w:lineRule="auto"/>
              <w:jc w:val="center"/>
              <w:rPr>
                <w:rFonts w:eastAsia="仿宋"/>
                <w:color w:val="auto"/>
                <w:szCs w:val="21"/>
              </w:rPr>
            </w:pPr>
            <w:r>
              <w:rPr>
                <w:rFonts w:eastAsia="仿宋"/>
                <w:color w:val="auto"/>
                <w:szCs w:val="21"/>
              </w:rPr>
              <w:t>5.18</w:t>
            </w:r>
          </w:p>
        </w:tc>
        <w:tc>
          <w:tcPr>
            <w:tcW w:w="1560" w:type="dxa"/>
            <w:vAlign w:val="center"/>
          </w:tcPr>
          <w:p w14:paraId="7C42E33C">
            <w:pPr>
              <w:shd w:val="clear" w:color="auto" w:fill="FFFFFF"/>
              <w:spacing w:line="360" w:lineRule="auto"/>
              <w:jc w:val="center"/>
              <w:rPr>
                <w:rFonts w:eastAsia="仿宋"/>
                <w:color w:val="auto"/>
                <w:szCs w:val="21"/>
              </w:rPr>
            </w:pPr>
            <w:r>
              <w:rPr>
                <w:rFonts w:hint="eastAsia" w:eastAsia="仿宋"/>
                <w:color w:val="auto"/>
                <w:szCs w:val="21"/>
              </w:rPr>
              <w:t>4.95</w:t>
            </w:r>
          </w:p>
        </w:tc>
        <w:tc>
          <w:tcPr>
            <w:tcW w:w="1716" w:type="dxa"/>
            <w:vAlign w:val="center"/>
          </w:tcPr>
          <w:p w14:paraId="683902E2">
            <w:pPr>
              <w:shd w:val="clear" w:color="auto" w:fill="FFFFFF"/>
              <w:spacing w:line="360" w:lineRule="auto"/>
              <w:jc w:val="center"/>
              <w:rPr>
                <w:rFonts w:eastAsia="仿宋"/>
                <w:color w:val="auto"/>
                <w:szCs w:val="21"/>
              </w:rPr>
            </w:pPr>
            <w:r>
              <w:rPr>
                <w:rFonts w:hint="eastAsia" w:eastAsia="仿宋"/>
                <w:color w:val="auto"/>
                <w:szCs w:val="21"/>
              </w:rPr>
              <w:t>95.6</w:t>
            </w:r>
          </w:p>
        </w:tc>
      </w:tr>
      <w:tr w14:paraId="6D73784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vAlign w:val="center"/>
          </w:tcPr>
          <w:p w14:paraId="6DF20004">
            <w:pPr>
              <w:shd w:val="clear" w:color="auto" w:fill="FFFFFF"/>
              <w:spacing w:line="360" w:lineRule="auto"/>
              <w:jc w:val="center"/>
              <w:rPr>
                <w:rFonts w:eastAsia="仿宋"/>
                <w:color w:val="auto"/>
                <w:szCs w:val="21"/>
              </w:rPr>
            </w:pPr>
          </w:p>
        </w:tc>
        <w:tc>
          <w:tcPr>
            <w:tcW w:w="1638" w:type="dxa"/>
            <w:vAlign w:val="center"/>
          </w:tcPr>
          <w:p w14:paraId="044130F6">
            <w:pPr>
              <w:spacing w:line="360" w:lineRule="auto"/>
              <w:jc w:val="center"/>
              <w:rPr>
                <w:rFonts w:eastAsia="仿宋"/>
                <w:color w:val="auto"/>
                <w:szCs w:val="21"/>
              </w:rPr>
            </w:pPr>
            <w:r>
              <w:rPr>
                <w:rFonts w:eastAsia="仿宋"/>
                <w:color w:val="auto"/>
                <w:szCs w:val="21"/>
              </w:rPr>
              <w:t>7.76</w:t>
            </w:r>
          </w:p>
        </w:tc>
        <w:tc>
          <w:tcPr>
            <w:tcW w:w="1560" w:type="dxa"/>
            <w:vAlign w:val="center"/>
          </w:tcPr>
          <w:p w14:paraId="7DD82761">
            <w:pPr>
              <w:shd w:val="clear" w:color="auto" w:fill="FFFFFF"/>
              <w:spacing w:line="360" w:lineRule="auto"/>
              <w:jc w:val="center"/>
              <w:rPr>
                <w:rFonts w:eastAsia="仿宋"/>
                <w:color w:val="auto"/>
                <w:szCs w:val="21"/>
              </w:rPr>
            </w:pPr>
            <w:r>
              <w:rPr>
                <w:rFonts w:hint="eastAsia" w:eastAsia="仿宋"/>
                <w:color w:val="auto"/>
                <w:szCs w:val="21"/>
              </w:rPr>
              <w:t>7.43</w:t>
            </w:r>
          </w:p>
        </w:tc>
        <w:tc>
          <w:tcPr>
            <w:tcW w:w="1716" w:type="dxa"/>
            <w:vAlign w:val="center"/>
          </w:tcPr>
          <w:p w14:paraId="2DDAC104">
            <w:pPr>
              <w:shd w:val="clear" w:color="auto" w:fill="FFFFFF"/>
              <w:spacing w:line="360" w:lineRule="auto"/>
              <w:jc w:val="center"/>
              <w:rPr>
                <w:rFonts w:eastAsia="仿宋"/>
                <w:color w:val="auto"/>
                <w:szCs w:val="21"/>
              </w:rPr>
            </w:pPr>
            <w:r>
              <w:rPr>
                <w:rFonts w:hint="eastAsia" w:eastAsia="仿宋"/>
                <w:color w:val="auto"/>
                <w:szCs w:val="21"/>
              </w:rPr>
              <w:t>95.7</w:t>
            </w:r>
          </w:p>
        </w:tc>
      </w:tr>
      <w:tr w14:paraId="4C6F9FC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restart"/>
            <w:vAlign w:val="center"/>
          </w:tcPr>
          <w:p w14:paraId="449D25D2">
            <w:pPr>
              <w:shd w:val="clear" w:color="auto" w:fill="FFFFFF"/>
              <w:spacing w:line="360" w:lineRule="auto"/>
              <w:jc w:val="center"/>
              <w:rPr>
                <w:rFonts w:eastAsia="仿宋"/>
                <w:color w:val="auto"/>
                <w:szCs w:val="21"/>
                <w:vertAlign w:val="subscript"/>
              </w:rPr>
            </w:pPr>
            <w:r>
              <w:rPr>
                <w:rFonts w:eastAsia="仿宋"/>
                <w:color w:val="auto"/>
                <w:szCs w:val="21"/>
              </w:rPr>
              <w:t>1.9 mmol/L</w:t>
            </w:r>
            <w:r>
              <w:rPr>
                <w:rFonts w:hint="eastAsia" w:eastAsia="仿宋"/>
                <w:color w:val="auto"/>
                <w:szCs w:val="21"/>
              </w:rPr>
              <w:t xml:space="preserve"> Na</w:t>
            </w:r>
            <w:r>
              <w:rPr>
                <w:rFonts w:hint="eastAsia" w:eastAsia="仿宋"/>
                <w:color w:val="auto"/>
                <w:szCs w:val="21"/>
                <w:vertAlign w:val="subscript"/>
              </w:rPr>
              <w:t>2</w:t>
            </w:r>
            <w:r>
              <w:rPr>
                <w:rFonts w:hint="eastAsia" w:eastAsia="仿宋"/>
                <w:color w:val="auto"/>
                <w:szCs w:val="21"/>
              </w:rPr>
              <w:t>CO</w:t>
            </w:r>
            <w:r>
              <w:rPr>
                <w:rFonts w:hint="eastAsia" w:eastAsia="仿宋"/>
                <w:color w:val="auto"/>
                <w:szCs w:val="21"/>
                <w:vertAlign w:val="subscript"/>
              </w:rPr>
              <w:t>3</w:t>
            </w:r>
            <w:r>
              <w:rPr>
                <w:rFonts w:eastAsia="仿宋"/>
                <w:color w:val="auto"/>
                <w:szCs w:val="21"/>
              </w:rPr>
              <w:t xml:space="preserve">-0.6 mmol/L </w:t>
            </w:r>
            <w:r>
              <w:rPr>
                <w:rFonts w:hint="eastAsia" w:eastAsia="仿宋"/>
                <w:color w:val="auto"/>
                <w:szCs w:val="21"/>
              </w:rPr>
              <w:t>NaHCO</w:t>
            </w:r>
            <w:r>
              <w:rPr>
                <w:rFonts w:hint="eastAsia" w:eastAsia="仿宋"/>
                <w:color w:val="auto"/>
                <w:szCs w:val="21"/>
                <w:vertAlign w:val="subscript"/>
              </w:rPr>
              <w:t>3</w:t>
            </w:r>
          </w:p>
          <w:p w14:paraId="190C48A0">
            <w:pPr>
              <w:shd w:val="clear" w:color="auto" w:fill="FFFFFF"/>
              <w:spacing w:line="360" w:lineRule="auto"/>
              <w:jc w:val="center"/>
              <w:rPr>
                <w:rFonts w:eastAsia="仿宋"/>
                <w:color w:val="auto"/>
                <w:szCs w:val="21"/>
                <w:vertAlign w:val="subscript"/>
              </w:rPr>
            </w:pPr>
            <w:r>
              <w:rPr>
                <w:rFonts w:hint="eastAsia" w:eastAsia="仿宋"/>
                <w:color w:val="auto"/>
                <w:szCs w:val="21"/>
              </w:rPr>
              <w:t>(含5%甲醇)</w:t>
            </w:r>
          </w:p>
        </w:tc>
        <w:tc>
          <w:tcPr>
            <w:tcW w:w="1638" w:type="dxa"/>
            <w:vAlign w:val="center"/>
          </w:tcPr>
          <w:p w14:paraId="562F0856">
            <w:pPr>
              <w:spacing w:line="360" w:lineRule="auto"/>
              <w:jc w:val="center"/>
              <w:rPr>
                <w:rFonts w:eastAsia="仿宋"/>
                <w:color w:val="auto"/>
                <w:szCs w:val="21"/>
              </w:rPr>
            </w:pPr>
            <w:r>
              <w:rPr>
                <w:rFonts w:hint="eastAsia" w:eastAsia="仿宋"/>
                <w:color w:val="auto"/>
                <w:szCs w:val="21"/>
              </w:rPr>
              <w:t>0.78</w:t>
            </w:r>
          </w:p>
        </w:tc>
        <w:tc>
          <w:tcPr>
            <w:tcW w:w="1560" w:type="dxa"/>
            <w:vAlign w:val="center"/>
          </w:tcPr>
          <w:p w14:paraId="47B5CCDB">
            <w:pPr>
              <w:shd w:val="clear" w:color="auto" w:fill="FFFFFF"/>
              <w:spacing w:line="360" w:lineRule="auto"/>
              <w:jc w:val="center"/>
              <w:rPr>
                <w:rFonts w:eastAsia="仿宋"/>
                <w:color w:val="auto"/>
                <w:szCs w:val="21"/>
              </w:rPr>
            </w:pPr>
            <w:r>
              <w:rPr>
                <w:rFonts w:hint="eastAsia" w:eastAsia="仿宋"/>
                <w:color w:val="auto"/>
                <w:szCs w:val="21"/>
              </w:rPr>
              <w:t>0.80</w:t>
            </w:r>
          </w:p>
        </w:tc>
        <w:tc>
          <w:tcPr>
            <w:tcW w:w="1716" w:type="dxa"/>
            <w:vAlign w:val="center"/>
          </w:tcPr>
          <w:p w14:paraId="128386A9">
            <w:pPr>
              <w:shd w:val="clear" w:color="auto" w:fill="FFFFFF"/>
              <w:spacing w:line="360" w:lineRule="auto"/>
              <w:jc w:val="center"/>
              <w:rPr>
                <w:rFonts w:eastAsia="仿宋"/>
                <w:color w:val="auto"/>
                <w:szCs w:val="21"/>
              </w:rPr>
            </w:pPr>
            <w:r>
              <w:rPr>
                <w:rFonts w:hint="eastAsia" w:eastAsia="仿宋"/>
                <w:color w:val="auto"/>
                <w:szCs w:val="21"/>
              </w:rPr>
              <w:t>102</w:t>
            </w:r>
          </w:p>
        </w:tc>
      </w:tr>
      <w:tr w14:paraId="60D6DC7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vAlign w:val="center"/>
          </w:tcPr>
          <w:p w14:paraId="6A8BEA74">
            <w:pPr>
              <w:shd w:val="clear" w:color="auto" w:fill="FFFFFF"/>
              <w:spacing w:line="360" w:lineRule="auto"/>
              <w:jc w:val="center"/>
              <w:rPr>
                <w:rFonts w:eastAsia="仿宋"/>
                <w:color w:val="auto"/>
                <w:szCs w:val="21"/>
              </w:rPr>
            </w:pPr>
          </w:p>
        </w:tc>
        <w:tc>
          <w:tcPr>
            <w:tcW w:w="1638" w:type="dxa"/>
            <w:vAlign w:val="center"/>
          </w:tcPr>
          <w:p w14:paraId="67EF8985">
            <w:pPr>
              <w:spacing w:line="360" w:lineRule="auto"/>
              <w:jc w:val="center"/>
              <w:rPr>
                <w:rFonts w:eastAsia="仿宋"/>
                <w:color w:val="auto"/>
                <w:szCs w:val="21"/>
              </w:rPr>
            </w:pPr>
            <w:r>
              <w:rPr>
                <w:rFonts w:eastAsia="仿宋"/>
                <w:color w:val="auto"/>
                <w:szCs w:val="21"/>
              </w:rPr>
              <w:t>5.18</w:t>
            </w:r>
          </w:p>
        </w:tc>
        <w:tc>
          <w:tcPr>
            <w:tcW w:w="1560" w:type="dxa"/>
            <w:vAlign w:val="center"/>
          </w:tcPr>
          <w:p w14:paraId="579B9DF6">
            <w:pPr>
              <w:shd w:val="clear" w:color="auto" w:fill="FFFFFF"/>
              <w:spacing w:line="360" w:lineRule="auto"/>
              <w:jc w:val="center"/>
              <w:rPr>
                <w:rFonts w:eastAsia="仿宋"/>
                <w:color w:val="auto"/>
                <w:szCs w:val="21"/>
              </w:rPr>
            </w:pPr>
            <w:r>
              <w:rPr>
                <w:rFonts w:hint="eastAsia" w:eastAsia="仿宋"/>
                <w:color w:val="auto"/>
                <w:szCs w:val="21"/>
              </w:rPr>
              <w:t>5.01</w:t>
            </w:r>
          </w:p>
        </w:tc>
        <w:tc>
          <w:tcPr>
            <w:tcW w:w="1716" w:type="dxa"/>
            <w:vAlign w:val="center"/>
          </w:tcPr>
          <w:p w14:paraId="2C1B4D95">
            <w:pPr>
              <w:shd w:val="clear" w:color="auto" w:fill="FFFFFF"/>
              <w:spacing w:line="360" w:lineRule="auto"/>
              <w:jc w:val="center"/>
              <w:rPr>
                <w:rFonts w:eastAsia="仿宋"/>
                <w:color w:val="auto"/>
                <w:szCs w:val="21"/>
              </w:rPr>
            </w:pPr>
            <w:r>
              <w:rPr>
                <w:rFonts w:hint="eastAsia" w:eastAsia="仿宋"/>
                <w:color w:val="auto"/>
                <w:szCs w:val="21"/>
              </w:rPr>
              <w:t>96.7</w:t>
            </w:r>
          </w:p>
        </w:tc>
      </w:tr>
      <w:tr w14:paraId="591F841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3827" w:type="dxa"/>
            <w:vMerge w:val="continue"/>
            <w:tcBorders>
              <w:bottom w:val="single" w:color="auto" w:sz="12" w:space="0"/>
            </w:tcBorders>
            <w:vAlign w:val="center"/>
          </w:tcPr>
          <w:p w14:paraId="237D685E">
            <w:pPr>
              <w:shd w:val="clear" w:color="auto" w:fill="FFFFFF"/>
              <w:spacing w:line="360" w:lineRule="auto"/>
              <w:jc w:val="center"/>
              <w:rPr>
                <w:rFonts w:eastAsia="仿宋"/>
                <w:color w:val="auto"/>
                <w:szCs w:val="21"/>
              </w:rPr>
            </w:pPr>
          </w:p>
        </w:tc>
        <w:tc>
          <w:tcPr>
            <w:tcW w:w="1638" w:type="dxa"/>
            <w:tcBorders>
              <w:bottom w:val="single" w:color="auto" w:sz="12" w:space="0"/>
            </w:tcBorders>
            <w:vAlign w:val="center"/>
          </w:tcPr>
          <w:p w14:paraId="6EB515AA">
            <w:pPr>
              <w:spacing w:line="360" w:lineRule="auto"/>
              <w:jc w:val="center"/>
              <w:rPr>
                <w:rFonts w:eastAsia="仿宋"/>
                <w:color w:val="auto"/>
                <w:szCs w:val="21"/>
              </w:rPr>
            </w:pPr>
            <w:r>
              <w:rPr>
                <w:rFonts w:eastAsia="仿宋"/>
                <w:color w:val="auto"/>
                <w:szCs w:val="21"/>
              </w:rPr>
              <w:t>7.76</w:t>
            </w:r>
          </w:p>
        </w:tc>
        <w:tc>
          <w:tcPr>
            <w:tcW w:w="1560" w:type="dxa"/>
            <w:tcBorders>
              <w:bottom w:val="single" w:color="auto" w:sz="12" w:space="0"/>
            </w:tcBorders>
            <w:vAlign w:val="center"/>
          </w:tcPr>
          <w:p w14:paraId="7B0B1ED2">
            <w:pPr>
              <w:shd w:val="clear" w:color="auto" w:fill="FFFFFF"/>
              <w:spacing w:line="360" w:lineRule="auto"/>
              <w:jc w:val="center"/>
              <w:rPr>
                <w:rFonts w:eastAsia="仿宋"/>
                <w:color w:val="auto"/>
                <w:szCs w:val="21"/>
              </w:rPr>
            </w:pPr>
            <w:r>
              <w:rPr>
                <w:rFonts w:hint="eastAsia" w:eastAsia="仿宋"/>
                <w:color w:val="auto"/>
                <w:szCs w:val="21"/>
              </w:rPr>
              <w:t>7.39</w:t>
            </w:r>
          </w:p>
        </w:tc>
        <w:tc>
          <w:tcPr>
            <w:tcW w:w="1716" w:type="dxa"/>
            <w:tcBorders>
              <w:bottom w:val="single" w:color="auto" w:sz="12" w:space="0"/>
            </w:tcBorders>
            <w:vAlign w:val="center"/>
          </w:tcPr>
          <w:p w14:paraId="63EAF69D">
            <w:pPr>
              <w:shd w:val="clear" w:color="auto" w:fill="FFFFFF"/>
              <w:spacing w:line="360" w:lineRule="auto"/>
              <w:jc w:val="center"/>
              <w:rPr>
                <w:rFonts w:eastAsia="仿宋"/>
                <w:color w:val="auto"/>
                <w:szCs w:val="21"/>
              </w:rPr>
            </w:pPr>
            <w:r>
              <w:rPr>
                <w:rFonts w:hint="eastAsia" w:eastAsia="仿宋"/>
                <w:color w:val="auto"/>
                <w:szCs w:val="21"/>
              </w:rPr>
              <w:t>95.2</w:t>
            </w:r>
          </w:p>
        </w:tc>
      </w:tr>
    </w:tbl>
    <w:p w14:paraId="7BD24EDC">
      <w:pPr>
        <w:autoSpaceDE w:val="0"/>
        <w:autoSpaceDN w:val="0"/>
        <w:adjustRightInd w:val="0"/>
        <w:snapToGrid w:val="0"/>
        <w:spacing w:before="156" w:beforeLines="50" w:line="460" w:lineRule="exact"/>
        <w:ind w:firstLine="560" w:firstLineChars="200"/>
        <w:jc w:val="left"/>
        <w:textAlignment w:val="bottom"/>
        <w:rPr>
          <w:rFonts w:hint="eastAsia"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t>6.3洗脱时间的选择</w:t>
      </w:r>
    </w:p>
    <w:p w14:paraId="08D290E2">
      <w:pPr>
        <w:shd w:val="clear" w:color="auto" w:fill="FFFFFF"/>
        <w:spacing w:line="460" w:lineRule="exact"/>
        <w:ind w:firstLine="560" w:firstLineChars="200"/>
        <w:rPr>
          <w:rFonts w:eastAsia="仿宋"/>
          <w:color w:val="auto"/>
          <w:szCs w:val="21"/>
        </w:rPr>
      </w:pPr>
      <w:r>
        <w:rPr>
          <w:rFonts w:hint="eastAsia" w:eastAsia="仿宋"/>
          <w:color w:val="auto"/>
          <w:sz w:val="28"/>
          <w:szCs w:val="28"/>
        </w:rPr>
        <w:t>比较超声时间的不同对同一加标量的玻璃纤维滤纸洗脱效率的影响。分别超声提取5 min，10 min，20 min，30 min，40 min后按试验方法进行分析测定，结果表明：超声时间小于20 min时，草铵膦洗脱不完全，洗脱效率随超声时间的增加而提高，当超声时间大于20 min后，草铵膦的洗脱效率基本保持不变，因此本试验超声时间选为20 min。见表</w:t>
      </w:r>
      <w:r>
        <w:rPr>
          <w:rFonts w:hint="eastAsia" w:eastAsia="仿宋"/>
          <w:color w:val="auto"/>
          <w:sz w:val="28"/>
          <w:szCs w:val="28"/>
          <w:lang w:val="en-US" w:eastAsia="zh-CN"/>
        </w:rPr>
        <w:t>4</w:t>
      </w:r>
      <w:r>
        <w:rPr>
          <w:rFonts w:hint="eastAsia" w:eastAsia="仿宋"/>
          <w:color w:val="auto"/>
          <w:sz w:val="28"/>
          <w:szCs w:val="28"/>
        </w:rPr>
        <w:t>。</w:t>
      </w:r>
    </w:p>
    <w:p w14:paraId="034985DB">
      <w:pPr>
        <w:shd w:val="clear" w:color="auto" w:fill="FFFFFF"/>
        <w:spacing w:line="360" w:lineRule="auto"/>
        <w:jc w:val="center"/>
        <w:rPr>
          <w:rFonts w:eastAsia="仿宋"/>
          <w:color w:val="auto"/>
          <w:szCs w:val="21"/>
        </w:rPr>
      </w:pPr>
      <w:r>
        <w:rPr>
          <w:rFonts w:eastAsia="仿宋"/>
          <w:color w:val="auto"/>
          <w:szCs w:val="21"/>
        </w:rPr>
        <w:t>表</w:t>
      </w:r>
      <w:r>
        <w:rPr>
          <w:rFonts w:hint="eastAsia" w:eastAsia="仿宋"/>
          <w:color w:val="auto"/>
          <w:szCs w:val="21"/>
          <w:lang w:val="en-US" w:eastAsia="zh-CN"/>
        </w:rPr>
        <w:t>4</w:t>
      </w:r>
      <w:r>
        <w:rPr>
          <w:rFonts w:eastAsia="仿宋"/>
          <w:color w:val="auto"/>
          <w:szCs w:val="21"/>
        </w:rPr>
        <w:t xml:space="preserve"> 洗脱时间（n=6）</w:t>
      </w:r>
    </w:p>
    <w:tbl>
      <w:tblPr>
        <w:tblStyle w:val="22"/>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50"/>
        <w:gridCol w:w="1488"/>
        <w:gridCol w:w="1560"/>
        <w:gridCol w:w="1726"/>
      </w:tblGrid>
      <w:tr w14:paraId="054F7C0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jc w:val="center"/>
        </w:trPr>
        <w:tc>
          <w:tcPr>
            <w:tcW w:w="1850" w:type="dxa"/>
            <w:tcBorders>
              <w:bottom w:val="single" w:color="auto" w:sz="12" w:space="0"/>
            </w:tcBorders>
            <w:vAlign w:val="center"/>
          </w:tcPr>
          <w:p w14:paraId="095408C9">
            <w:pPr>
              <w:shd w:val="clear" w:color="auto" w:fill="FFFFFF"/>
              <w:spacing w:line="360" w:lineRule="auto"/>
              <w:jc w:val="center"/>
              <w:rPr>
                <w:rFonts w:eastAsia="仿宋"/>
                <w:color w:val="auto"/>
                <w:szCs w:val="21"/>
              </w:rPr>
            </w:pPr>
            <w:r>
              <w:rPr>
                <w:rFonts w:eastAsia="仿宋"/>
                <w:color w:val="auto"/>
                <w:szCs w:val="21"/>
              </w:rPr>
              <w:t>洗脱时间（min）</w:t>
            </w:r>
          </w:p>
        </w:tc>
        <w:tc>
          <w:tcPr>
            <w:tcW w:w="1488" w:type="dxa"/>
            <w:tcBorders>
              <w:bottom w:val="single" w:color="auto" w:sz="12" w:space="0"/>
            </w:tcBorders>
            <w:vAlign w:val="center"/>
          </w:tcPr>
          <w:p w14:paraId="24DAB3BA">
            <w:pPr>
              <w:shd w:val="clear" w:color="auto" w:fill="FFFFFF"/>
              <w:spacing w:line="360" w:lineRule="auto"/>
              <w:jc w:val="center"/>
              <w:rPr>
                <w:rFonts w:eastAsia="仿宋"/>
                <w:color w:val="auto"/>
                <w:szCs w:val="21"/>
              </w:rPr>
            </w:pPr>
            <w:r>
              <w:rPr>
                <w:rFonts w:eastAsia="仿宋"/>
                <w:color w:val="auto"/>
                <w:szCs w:val="21"/>
              </w:rPr>
              <w:t>加入量（μg）</w:t>
            </w:r>
          </w:p>
        </w:tc>
        <w:tc>
          <w:tcPr>
            <w:tcW w:w="1560" w:type="dxa"/>
            <w:tcBorders>
              <w:bottom w:val="single" w:color="auto" w:sz="12" w:space="0"/>
            </w:tcBorders>
            <w:vAlign w:val="center"/>
          </w:tcPr>
          <w:p w14:paraId="3AF9770D">
            <w:pPr>
              <w:shd w:val="clear" w:color="auto" w:fill="FFFFFF"/>
              <w:spacing w:line="360" w:lineRule="auto"/>
              <w:jc w:val="center"/>
              <w:rPr>
                <w:rFonts w:eastAsia="仿宋"/>
                <w:color w:val="auto"/>
                <w:szCs w:val="21"/>
              </w:rPr>
            </w:pPr>
            <w:r>
              <w:rPr>
                <w:rFonts w:eastAsia="仿宋"/>
                <w:color w:val="auto"/>
                <w:szCs w:val="21"/>
              </w:rPr>
              <w:t>平均值（μg）</w:t>
            </w:r>
          </w:p>
        </w:tc>
        <w:tc>
          <w:tcPr>
            <w:tcW w:w="1726" w:type="dxa"/>
            <w:tcBorders>
              <w:bottom w:val="single" w:color="auto" w:sz="12" w:space="0"/>
            </w:tcBorders>
            <w:vAlign w:val="center"/>
          </w:tcPr>
          <w:p w14:paraId="2BEA2E2F">
            <w:pPr>
              <w:shd w:val="clear" w:color="auto" w:fill="FFFFFF"/>
              <w:spacing w:line="360" w:lineRule="auto"/>
              <w:jc w:val="center"/>
              <w:rPr>
                <w:rFonts w:eastAsia="仿宋"/>
                <w:color w:val="auto"/>
                <w:szCs w:val="21"/>
              </w:rPr>
            </w:pPr>
            <w:r>
              <w:rPr>
                <w:rFonts w:eastAsia="仿宋"/>
                <w:color w:val="auto"/>
                <w:szCs w:val="21"/>
              </w:rPr>
              <w:t>洗脱效率（%）</w:t>
            </w:r>
          </w:p>
        </w:tc>
      </w:tr>
      <w:tr w14:paraId="4880610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850" w:type="dxa"/>
            <w:tcBorders>
              <w:top w:val="single" w:color="auto" w:sz="12" w:space="0"/>
              <w:tl2br w:val="nil"/>
              <w:tr2bl w:val="nil"/>
            </w:tcBorders>
            <w:vAlign w:val="center"/>
          </w:tcPr>
          <w:p w14:paraId="1872958F">
            <w:pPr>
              <w:shd w:val="clear" w:color="auto" w:fill="FFFFFF"/>
              <w:spacing w:line="360" w:lineRule="auto"/>
              <w:jc w:val="center"/>
              <w:rPr>
                <w:rFonts w:eastAsia="仿宋"/>
                <w:color w:val="auto"/>
                <w:szCs w:val="21"/>
              </w:rPr>
            </w:pPr>
            <w:r>
              <w:rPr>
                <w:rFonts w:eastAsia="仿宋"/>
                <w:color w:val="auto"/>
                <w:szCs w:val="21"/>
              </w:rPr>
              <w:t>5</w:t>
            </w:r>
          </w:p>
        </w:tc>
        <w:tc>
          <w:tcPr>
            <w:tcW w:w="1488" w:type="dxa"/>
            <w:vMerge w:val="restart"/>
            <w:tcBorders>
              <w:top w:val="single" w:color="auto" w:sz="12" w:space="0"/>
              <w:tl2br w:val="nil"/>
              <w:tr2bl w:val="nil"/>
            </w:tcBorders>
            <w:vAlign w:val="center"/>
          </w:tcPr>
          <w:p w14:paraId="5E7062F0">
            <w:pPr>
              <w:shd w:val="clear" w:color="auto" w:fill="FFFFFF"/>
              <w:spacing w:line="360" w:lineRule="auto"/>
              <w:jc w:val="center"/>
              <w:rPr>
                <w:rFonts w:eastAsia="仿宋"/>
                <w:color w:val="auto"/>
                <w:szCs w:val="21"/>
              </w:rPr>
            </w:pPr>
          </w:p>
          <w:p w14:paraId="68E5876D">
            <w:pPr>
              <w:shd w:val="clear" w:color="auto" w:fill="FFFFFF"/>
              <w:spacing w:line="360" w:lineRule="auto"/>
              <w:jc w:val="center"/>
              <w:rPr>
                <w:rFonts w:eastAsia="仿宋"/>
                <w:color w:val="auto"/>
                <w:szCs w:val="21"/>
              </w:rPr>
            </w:pPr>
            <w:r>
              <w:rPr>
                <w:rFonts w:eastAsia="仿宋"/>
                <w:color w:val="auto"/>
                <w:szCs w:val="21"/>
              </w:rPr>
              <w:t>5.18</w:t>
            </w:r>
          </w:p>
          <w:p w14:paraId="05C22097">
            <w:pPr>
              <w:shd w:val="clear" w:color="auto" w:fill="FFFFFF"/>
              <w:spacing w:line="360" w:lineRule="auto"/>
              <w:jc w:val="center"/>
              <w:rPr>
                <w:rFonts w:eastAsia="仿宋"/>
                <w:color w:val="auto"/>
                <w:szCs w:val="21"/>
              </w:rPr>
            </w:pPr>
          </w:p>
        </w:tc>
        <w:tc>
          <w:tcPr>
            <w:tcW w:w="1560" w:type="dxa"/>
            <w:tcBorders>
              <w:top w:val="single" w:color="auto" w:sz="12" w:space="0"/>
              <w:tl2br w:val="nil"/>
              <w:tr2bl w:val="nil"/>
            </w:tcBorders>
            <w:vAlign w:val="center"/>
          </w:tcPr>
          <w:p w14:paraId="74F8D9FA">
            <w:pPr>
              <w:shd w:val="clear" w:color="auto" w:fill="FFFFFF"/>
              <w:spacing w:line="360" w:lineRule="auto"/>
              <w:jc w:val="center"/>
              <w:rPr>
                <w:rFonts w:eastAsia="仿宋"/>
                <w:color w:val="auto"/>
                <w:szCs w:val="21"/>
              </w:rPr>
            </w:pPr>
            <w:r>
              <w:rPr>
                <w:rFonts w:eastAsia="仿宋"/>
                <w:color w:val="auto"/>
                <w:szCs w:val="21"/>
              </w:rPr>
              <w:t>4.82</w:t>
            </w:r>
          </w:p>
        </w:tc>
        <w:tc>
          <w:tcPr>
            <w:tcW w:w="1726" w:type="dxa"/>
            <w:tcBorders>
              <w:top w:val="single" w:color="auto" w:sz="12" w:space="0"/>
              <w:tl2br w:val="nil"/>
              <w:tr2bl w:val="nil"/>
            </w:tcBorders>
            <w:vAlign w:val="center"/>
          </w:tcPr>
          <w:p w14:paraId="62FD6484">
            <w:pPr>
              <w:shd w:val="clear" w:color="auto" w:fill="FFFFFF"/>
              <w:spacing w:line="360" w:lineRule="auto"/>
              <w:jc w:val="center"/>
              <w:rPr>
                <w:rFonts w:eastAsia="仿宋"/>
                <w:color w:val="auto"/>
                <w:szCs w:val="21"/>
              </w:rPr>
            </w:pPr>
            <w:r>
              <w:rPr>
                <w:rFonts w:eastAsia="仿宋"/>
                <w:color w:val="auto"/>
                <w:szCs w:val="21"/>
              </w:rPr>
              <w:t>93.2</w:t>
            </w:r>
          </w:p>
        </w:tc>
      </w:tr>
      <w:tr w14:paraId="4B8909B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850" w:type="dxa"/>
            <w:tcBorders>
              <w:tl2br w:val="nil"/>
              <w:tr2bl w:val="nil"/>
            </w:tcBorders>
            <w:vAlign w:val="center"/>
          </w:tcPr>
          <w:p w14:paraId="7C6A1DC7">
            <w:pPr>
              <w:shd w:val="clear" w:color="auto" w:fill="FFFFFF"/>
              <w:spacing w:line="360" w:lineRule="auto"/>
              <w:jc w:val="center"/>
              <w:rPr>
                <w:rFonts w:eastAsia="仿宋"/>
                <w:color w:val="auto"/>
                <w:szCs w:val="21"/>
              </w:rPr>
            </w:pPr>
            <w:r>
              <w:rPr>
                <w:rFonts w:eastAsia="仿宋"/>
                <w:color w:val="auto"/>
                <w:szCs w:val="21"/>
              </w:rPr>
              <w:t>10</w:t>
            </w:r>
          </w:p>
        </w:tc>
        <w:tc>
          <w:tcPr>
            <w:tcW w:w="1488" w:type="dxa"/>
            <w:vMerge w:val="continue"/>
            <w:tcBorders>
              <w:tl2br w:val="nil"/>
              <w:tr2bl w:val="nil"/>
            </w:tcBorders>
            <w:vAlign w:val="center"/>
          </w:tcPr>
          <w:p w14:paraId="20541BAD">
            <w:pPr>
              <w:shd w:val="clear" w:color="auto" w:fill="FFFFFF"/>
              <w:spacing w:line="360" w:lineRule="auto"/>
              <w:jc w:val="center"/>
              <w:rPr>
                <w:rFonts w:eastAsia="仿宋"/>
                <w:color w:val="auto"/>
                <w:szCs w:val="21"/>
              </w:rPr>
            </w:pPr>
          </w:p>
        </w:tc>
        <w:tc>
          <w:tcPr>
            <w:tcW w:w="1560" w:type="dxa"/>
            <w:tcBorders>
              <w:tl2br w:val="nil"/>
              <w:tr2bl w:val="nil"/>
            </w:tcBorders>
            <w:vAlign w:val="center"/>
          </w:tcPr>
          <w:p w14:paraId="239E8E63">
            <w:pPr>
              <w:shd w:val="clear" w:color="auto" w:fill="FFFFFF"/>
              <w:spacing w:line="360" w:lineRule="auto"/>
              <w:jc w:val="center"/>
              <w:rPr>
                <w:rFonts w:eastAsia="仿宋"/>
                <w:color w:val="auto"/>
                <w:szCs w:val="21"/>
              </w:rPr>
            </w:pPr>
            <w:r>
              <w:rPr>
                <w:rFonts w:eastAsia="仿宋"/>
                <w:color w:val="auto"/>
                <w:szCs w:val="21"/>
              </w:rPr>
              <w:t>4.88</w:t>
            </w:r>
          </w:p>
        </w:tc>
        <w:tc>
          <w:tcPr>
            <w:tcW w:w="1726" w:type="dxa"/>
            <w:tcBorders>
              <w:tl2br w:val="nil"/>
              <w:tr2bl w:val="nil"/>
            </w:tcBorders>
            <w:vAlign w:val="center"/>
          </w:tcPr>
          <w:p w14:paraId="1BF50BCA">
            <w:pPr>
              <w:shd w:val="clear" w:color="auto" w:fill="FFFFFF"/>
              <w:spacing w:line="360" w:lineRule="auto"/>
              <w:jc w:val="center"/>
              <w:rPr>
                <w:rFonts w:eastAsia="仿宋"/>
                <w:color w:val="auto"/>
                <w:szCs w:val="21"/>
              </w:rPr>
            </w:pPr>
            <w:r>
              <w:rPr>
                <w:rFonts w:eastAsia="仿宋"/>
                <w:color w:val="auto"/>
                <w:szCs w:val="21"/>
              </w:rPr>
              <w:t>94.2</w:t>
            </w:r>
          </w:p>
        </w:tc>
      </w:tr>
      <w:tr w14:paraId="30F98A5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850" w:type="dxa"/>
            <w:tcBorders>
              <w:tl2br w:val="nil"/>
              <w:tr2bl w:val="nil"/>
            </w:tcBorders>
            <w:vAlign w:val="center"/>
          </w:tcPr>
          <w:p w14:paraId="7AF70B56">
            <w:pPr>
              <w:shd w:val="clear" w:color="auto" w:fill="FFFFFF"/>
              <w:spacing w:line="360" w:lineRule="auto"/>
              <w:jc w:val="center"/>
              <w:rPr>
                <w:rFonts w:eastAsia="仿宋"/>
                <w:color w:val="auto"/>
                <w:szCs w:val="21"/>
              </w:rPr>
            </w:pPr>
            <w:r>
              <w:rPr>
                <w:rFonts w:eastAsia="仿宋"/>
                <w:color w:val="auto"/>
                <w:szCs w:val="21"/>
              </w:rPr>
              <w:t>20</w:t>
            </w:r>
          </w:p>
        </w:tc>
        <w:tc>
          <w:tcPr>
            <w:tcW w:w="1488" w:type="dxa"/>
            <w:vMerge w:val="continue"/>
            <w:tcBorders>
              <w:tl2br w:val="nil"/>
              <w:tr2bl w:val="nil"/>
            </w:tcBorders>
            <w:vAlign w:val="center"/>
          </w:tcPr>
          <w:p w14:paraId="29F18530">
            <w:pPr>
              <w:shd w:val="clear" w:color="auto" w:fill="FFFFFF"/>
              <w:spacing w:line="360" w:lineRule="auto"/>
              <w:jc w:val="center"/>
              <w:rPr>
                <w:rFonts w:eastAsia="仿宋"/>
                <w:color w:val="auto"/>
                <w:szCs w:val="21"/>
              </w:rPr>
            </w:pPr>
          </w:p>
        </w:tc>
        <w:tc>
          <w:tcPr>
            <w:tcW w:w="1560" w:type="dxa"/>
            <w:tcBorders>
              <w:tl2br w:val="nil"/>
              <w:tr2bl w:val="nil"/>
            </w:tcBorders>
            <w:vAlign w:val="center"/>
          </w:tcPr>
          <w:p w14:paraId="01BEDA17">
            <w:pPr>
              <w:shd w:val="clear" w:color="auto" w:fill="FFFFFF"/>
              <w:spacing w:line="360" w:lineRule="auto"/>
              <w:jc w:val="center"/>
              <w:rPr>
                <w:rFonts w:eastAsia="仿宋"/>
                <w:color w:val="auto"/>
                <w:szCs w:val="21"/>
              </w:rPr>
            </w:pPr>
            <w:r>
              <w:rPr>
                <w:rFonts w:eastAsia="仿宋"/>
                <w:color w:val="auto"/>
                <w:szCs w:val="21"/>
              </w:rPr>
              <w:t>5.05</w:t>
            </w:r>
          </w:p>
        </w:tc>
        <w:tc>
          <w:tcPr>
            <w:tcW w:w="1726" w:type="dxa"/>
            <w:tcBorders>
              <w:tl2br w:val="nil"/>
              <w:tr2bl w:val="nil"/>
            </w:tcBorders>
            <w:vAlign w:val="center"/>
          </w:tcPr>
          <w:p w14:paraId="6BF12A65">
            <w:pPr>
              <w:shd w:val="clear" w:color="auto" w:fill="FFFFFF"/>
              <w:spacing w:line="360" w:lineRule="auto"/>
              <w:jc w:val="center"/>
              <w:rPr>
                <w:rFonts w:eastAsia="仿宋"/>
                <w:color w:val="auto"/>
                <w:szCs w:val="21"/>
              </w:rPr>
            </w:pPr>
            <w:r>
              <w:rPr>
                <w:rFonts w:eastAsia="仿宋"/>
                <w:color w:val="auto"/>
                <w:szCs w:val="21"/>
              </w:rPr>
              <w:t>97.5</w:t>
            </w:r>
          </w:p>
        </w:tc>
      </w:tr>
      <w:tr w14:paraId="717DF37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850" w:type="dxa"/>
            <w:tcBorders>
              <w:tl2br w:val="nil"/>
              <w:tr2bl w:val="nil"/>
            </w:tcBorders>
            <w:vAlign w:val="center"/>
          </w:tcPr>
          <w:p w14:paraId="5328B042">
            <w:pPr>
              <w:shd w:val="clear" w:color="auto" w:fill="FFFFFF"/>
              <w:spacing w:line="360" w:lineRule="auto"/>
              <w:jc w:val="center"/>
              <w:rPr>
                <w:rFonts w:eastAsia="仿宋"/>
                <w:color w:val="auto"/>
                <w:szCs w:val="21"/>
              </w:rPr>
            </w:pPr>
            <w:r>
              <w:rPr>
                <w:rFonts w:eastAsia="仿宋"/>
                <w:color w:val="auto"/>
                <w:szCs w:val="21"/>
              </w:rPr>
              <w:t>30</w:t>
            </w:r>
          </w:p>
        </w:tc>
        <w:tc>
          <w:tcPr>
            <w:tcW w:w="1488" w:type="dxa"/>
            <w:vMerge w:val="continue"/>
            <w:tcBorders>
              <w:tl2br w:val="nil"/>
              <w:tr2bl w:val="nil"/>
            </w:tcBorders>
            <w:vAlign w:val="center"/>
          </w:tcPr>
          <w:p w14:paraId="3E6290EC">
            <w:pPr>
              <w:shd w:val="clear" w:color="auto" w:fill="FFFFFF"/>
              <w:spacing w:line="360" w:lineRule="auto"/>
              <w:jc w:val="center"/>
              <w:rPr>
                <w:rFonts w:eastAsia="仿宋"/>
                <w:color w:val="auto"/>
                <w:szCs w:val="21"/>
              </w:rPr>
            </w:pPr>
          </w:p>
        </w:tc>
        <w:tc>
          <w:tcPr>
            <w:tcW w:w="1560" w:type="dxa"/>
            <w:tcBorders>
              <w:tl2br w:val="nil"/>
              <w:tr2bl w:val="nil"/>
            </w:tcBorders>
            <w:vAlign w:val="center"/>
          </w:tcPr>
          <w:p w14:paraId="5BBD6F1C">
            <w:pPr>
              <w:shd w:val="clear" w:color="auto" w:fill="FFFFFF"/>
              <w:spacing w:line="360" w:lineRule="auto"/>
              <w:jc w:val="center"/>
              <w:rPr>
                <w:rFonts w:eastAsia="仿宋"/>
                <w:color w:val="auto"/>
                <w:szCs w:val="21"/>
              </w:rPr>
            </w:pPr>
            <w:r>
              <w:rPr>
                <w:rFonts w:eastAsia="仿宋"/>
                <w:color w:val="auto"/>
                <w:szCs w:val="21"/>
              </w:rPr>
              <w:t>5.06</w:t>
            </w:r>
          </w:p>
        </w:tc>
        <w:tc>
          <w:tcPr>
            <w:tcW w:w="1726" w:type="dxa"/>
            <w:tcBorders>
              <w:tl2br w:val="nil"/>
              <w:tr2bl w:val="nil"/>
            </w:tcBorders>
            <w:vAlign w:val="center"/>
          </w:tcPr>
          <w:p w14:paraId="17F8A00C">
            <w:pPr>
              <w:shd w:val="clear" w:color="auto" w:fill="FFFFFF"/>
              <w:spacing w:line="360" w:lineRule="auto"/>
              <w:jc w:val="center"/>
              <w:rPr>
                <w:rFonts w:eastAsia="仿宋"/>
                <w:color w:val="auto"/>
                <w:szCs w:val="21"/>
              </w:rPr>
            </w:pPr>
            <w:r>
              <w:rPr>
                <w:rFonts w:eastAsia="仿宋"/>
                <w:color w:val="auto"/>
                <w:szCs w:val="21"/>
              </w:rPr>
              <w:t>97.8</w:t>
            </w:r>
          </w:p>
        </w:tc>
      </w:tr>
      <w:tr w14:paraId="7E75AE4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1850" w:type="dxa"/>
            <w:tcBorders>
              <w:tl2br w:val="nil"/>
              <w:tr2bl w:val="nil"/>
            </w:tcBorders>
            <w:vAlign w:val="center"/>
          </w:tcPr>
          <w:p w14:paraId="25123D30">
            <w:pPr>
              <w:shd w:val="clear" w:color="auto" w:fill="FFFFFF"/>
              <w:spacing w:line="360" w:lineRule="auto"/>
              <w:jc w:val="center"/>
              <w:rPr>
                <w:rFonts w:eastAsia="仿宋"/>
                <w:color w:val="auto"/>
                <w:szCs w:val="21"/>
              </w:rPr>
            </w:pPr>
            <w:r>
              <w:rPr>
                <w:rFonts w:eastAsia="仿宋"/>
                <w:color w:val="auto"/>
                <w:szCs w:val="21"/>
              </w:rPr>
              <w:t>40</w:t>
            </w:r>
          </w:p>
        </w:tc>
        <w:tc>
          <w:tcPr>
            <w:tcW w:w="1488" w:type="dxa"/>
            <w:vMerge w:val="continue"/>
            <w:tcBorders>
              <w:tl2br w:val="nil"/>
              <w:tr2bl w:val="nil"/>
            </w:tcBorders>
            <w:vAlign w:val="center"/>
          </w:tcPr>
          <w:p w14:paraId="41443BB8">
            <w:pPr>
              <w:shd w:val="clear" w:color="auto" w:fill="FFFFFF"/>
              <w:spacing w:line="360" w:lineRule="auto"/>
              <w:jc w:val="center"/>
              <w:rPr>
                <w:rFonts w:eastAsia="仿宋"/>
                <w:color w:val="auto"/>
                <w:szCs w:val="21"/>
              </w:rPr>
            </w:pPr>
          </w:p>
        </w:tc>
        <w:tc>
          <w:tcPr>
            <w:tcW w:w="1560" w:type="dxa"/>
            <w:tcBorders>
              <w:tl2br w:val="nil"/>
              <w:tr2bl w:val="nil"/>
            </w:tcBorders>
            <w:vAlign w:val="center"/>
          </w:tcPr>
          <w:p w14:paraId="24025733">
            <w:pPr>
              <w:shd w:val="clear" w:color="auto" w:fill="FFFFFF"/>
              <w:spacing w:line="360" w:lineRule="auto"/>
              <w:jc w:val="center"/>
              <w:rPr>
                <w:rFonts w:eastAsia="仿宋"/>
                <w:color w:val="auto"/>
                <w:szCs w:val="21"/>
              </w:rPr>
            </w:pPr>
            <w:r>
              <w:rPr>
                <w:rFonts w:eastAsia="仿宋"/>
                <w:color w:val="auto"/>
                <w:szCs w:val="21"/>
              </w:rPr>
              <w:t>5.05</w:t>
            </w:r>
          </w:p>
        </w:tc>
        <w:tc>
          <w:tcPr>
            <w:tcW w:w="1726" w:type="dxa"/>
            <w:tcBorders>
              <w:tl2br w:val="nil"/>
              <w:tr2bl w:val="nil"/>
            </w:tcBorders>
            <w:vAlign w:val="center"/>
          </w:tcPr>
          <w:p w14:paraId="105723CB">
            <w:pPr>
              <w:shd w:val="clear" w:color="auto" w:fill="FFFFFF"/>
              <w:spacing w:line="360" w:lineRule="auto"/>
              <w:jc w:val="center"/>
              <w:rPr>
                <w:rFonts w:eastAsia="仿宋"/>
                <w:color w:val="auto"/>
                <w:szCs w:val="21"/>
              </w:rPr>
            </w:pPr>
            <w:r>
              <w:rPr>
                <w:rFonts w:eastAsia="仿宋"/>
                <w:color w:val="auto"/>
                <w:szCs w:val="21"/>
              </w:rPr>
              <w:t>97.6</w:t>
            </w:r>
          </w:p>
        </w:tc>
      </w:tr>
    </w:tbl>
    <w:p w14:paraId="1E184B91">
      <w:pPr>
        <w:pStyle w:val="6"/>
        <w:tabs>
          <w:tab w:val="left" w:pos="8100"/>
        </w:tabs>
        <w:spacing w:before="156" w:beforeLines="50" w:line="500" w:lineRule="exact"/>
        <w:ind w:right="25" w:rightChars="12" w:firstLine="560" w:firstLineChars="200"/>
        <w:rPr>
          <w:rFonts w:hint="eastAsia" w:ascii="Times New Roman" w:hAnsi="Times New Roman" w:eastAsia="黑体" w:cs="Times New Roman"/>
          <w:color w:val="auto"/>
          <w:kern w:val="2"/>
          <w:sz w:val="28"/>
          <w:szCs w:val="28"/>
          <w:lang w:val="en-US" w:eastAsia="zh-CN" w:bidi="ar-SA"/>
        </w:rPr>
      </w:pPr>
      <w:r>
        <w:rPr>
          <w:rFonts w:hint="eastAsia" w:ascii="Times New Roman" w:hAnsi="Times New Roman" w:eastAsia="黑体" w:cs="Times New Roman"/>
          <w:color w:val="auto"/>
          <w:kern w:val="2"/>
          <w:sz w:val="28"/>
          <w:szCs w:val="28"/>
          <w:lang w:val="en-US" w:eastAsia="zh-CN" w:bidi="ar-SA"/>
        </w:rPr>
        <w:t>6.4标准曲线和线性范围</w:t>
      </w:r>
    </w:p>
    <w:p w14:paraId="4BD3A4D6">
      <w:pPr>
        <w:pStyle w:val="6"/>
        <w:tabs>
          <w:tab w:val="left" w:pos="8100"/>
        </w:tabs>
        <w:spacing w:line="460" w:lineRule="exact"/>
        <w:ind w:right="25" w:rightChars="12" w:firstLine="560" w:firstLineChars="200"/>
        <w:rPr>
          <w:rFonts w:eastAsia="仿宋"/>
          <w:color w:val="auto"/>
          <w:szCs w:val="28"/>
        </w:rPr>
      </w:pPr>
      <w:r>
        <w:rPr>
          <w:rFonts w:eastAsia="仿宋"/>
          <w:color w:val="auto"/>
          <w:szCs w:val="28"/>
        </w:rPr>
        <w:t>配制0.05 μg/mL、0.10 μg/mL、0.26 μg/mL、0.52 μg/mL、0.78 μg/mL、1.04 μg/mL</w:t>
      </w:r>
      <w:r>
        <w:rPr>
          <w:rFonts w:hint="eastAsia" w:eastAsia="仿宋"/>
          <w:color w:val="auto"/>
          <w:szCs w:val="28"/>
        </w:rPr>
        <w:t>草铵膦</w:t>
      </w:r>
      <w:r>
        <w:rPr>
          <w:rFonts w:eastAsia="仿宋"/>
          <w:color w:val="auto"/>
          <w:szCs w:val="28"/>
        </w:rPr>
        <w:t>标准工作系列浓度。以测得的峰面积和</w:t>
      </w:r>
      <w:r>
        <w:rPr>
          <w:rFonts w:hint="eastAsia" w:eastAsia="仿宋"/>
          <w:color w:val="auto"/>
          <w:szCs w:val="28"/>
        </w:rPr>
        <w:t>草铵膦</w:t>
      </w:r>
      <w:r>
        <w:rPr>
          <w:rFonts w:eastAsia="仿宋"/>
          <w:color w:val="auto"/>
          <w:szCs w:val="28"/>
        </w:rPr>
        <w:t>标准溶液的浓度（</w:t>
      </w:r>
      <w:r>
        <w:rPr>
          <w:color w:val="auto"/>
          <w:szCs w:val="28"/>
        </w:rPr>
        <w:t>µ</w:t>
      </w:r>
      <w:r>
        <w:rPr>
          <w:rFonts w:eastAsia="仿宋"/>
          <w:color w:val="auto"/>
          <w:szCs w:val="28"/>
        </w:rPr>
        <w:t>g/mL）进行回归分析，回归方程：y=</w:t>
      </w:r>
      <w:r>
        <w:rPr>
          <w:rFonts w:hint="eastAsia" w:eastAsia="仿宋"/>
          <w:color w:val="auto"/>
        </w:rPr>
        <w:t>0.1018</w:t>
      </w:r>
      <w:r>
        <w:rPr>
          <w:rFonts w:eastAsia="仿宋"/>
          <w:color w:val="auto"/>
          <w:szCs w:val="28"/>
        </w:rPr>
        <w:t>x</w:t>
      </w:r>
      <w:r>
        <w:rPr>
          <w:rFonts w:hint="eastAsia" w:eastAsia="仿宋"/>
          <w:color w:val="auto"/>
          <w:szCs w:val="28"/>
        </w:rPr>
        <w:t>-0.0012</w:t>
      </w:r>
      <w:r>
        <w:rPr>
          <w:rFonts w:eastAsia="仿宋"/>
          <w:color w:val="auto"/>
          <w:szCs w:val="28"/>
        </w:rPr>
        <w:t>，相关系数r</w:t>
      </w:r>
      <w:r>
        <w:rPr>
          <w:rFonts w:eastAsiaTheme="majorEastAsia"/>
          <w:color w:val="auto"/>
          <w:szCs w:val="28"/>
        </w:rPr>
        <w:t>&gt;</w:t>
      </w:r>
      <w:r>
        <w:rPr>
          <w:color w:val="auto"/>
          <w:szCs w:val="28"/>
        </w:rPr>
        <w:t>0.999</w:t>
      </w:r>
      <w:r>
        <w:rPr>
          <w:rFonts w:eastAsia="仿宋"/>
          <w:color w:val="auto"/>
          <w:szCs w:val="28"/>
        </w:rPr>
        <w:t>，</w:t>
      </w:r>
      <w:r>
        <w:rPr>
          <w:rFonts w:hint="eastAsia" w:eastAsia="仿宋"/>
          <w:color w:val="auto"/>
          <w:szCs w:val="28"/>
        </w:rPr>
        <w:t>草铵膦</w:t>
      </w:r>
      <w:r>
        <w:rPr>
          <w:rFonts w:eastAsia="仿宋"/>
          <w:color w:val="auto"/>
          <w:szCs w:val="28"/>
        </w:rPr>
        <w:t>浓度在0.0</w:t>
      </w:r>
      <w:r>
        <w:rPr>
          <w:rFonts w:hint="eastAsia" w:eastAsia="仿宋"/>
          <w:color w:val="auto"/>
          <w:szCs w:val="28"/>
        </w:rPr>
        <w:t>5</w:t>
      </w:r>
      <w:r>
        <w:rPr>
          <w:rFonts w:eastAsia="仿宋"/>
          <w:color w:val="auto"/>
          <w:szCs w:val="28"/>
        </w:rPr>
        <w:t xml:space="preserve"> </w:t>
      </w:r>
      <w:r>
        <w:rPr>
          <w:rFonts w:eastAsia="仿宋"/>
          <w:color w:val="auto"/>
          <w:szCs w:val="28"/>
        </w:rPr>
        <w:sym w:font="Symbol" w:char="F06D"/>
      </w:r>
      <w:r>
        <w:rPr>
          <w:rFonts w:eastAsia="仿宋"/>
          <w:color w:val="auto"/>
          <w:szCs w:val="28"/>
        </w:rPr>
        <w:t>g/mL~</w:t>
      </w:r>
      <w:r>
        <w:rPr>
          <w:rFonts w:hint="eastAsia" w:eastAsia="仿宋"/>
          <w:color w:val="auto"/>
          <w:szCs w:val="28"/>
        </w:rPr>
        <w:t>1.04</w:t>
      </w:r>
      <w:r>
        <w:rPr>
          <w:rFonts w:eastAsia="仿宋"/>
          <w:color w:val="auto"/>
          <w:szCs w:val="28"/>
        </w:rPr>
        <w:t xml:space="preserve"> </w:t>
      </w:r>
      <w:r>
        <w:rPr>
          <w:rFonts w:eastAsia="仿宋"/>
          <w:color w:val="auto"/>
          <w:szCs w:val="28"/>
        </w:rPr>
        <w:sym w:font="Symbol" w:char="F06D"/>
      </w:r>
      <w:r>
        <w:rPr>
          <w:rFonts w:eastAsia="仿宋"/>
          <w:color w:val="auto"/>
          <w:szCs w:val="28"/>
        </w:rPr>
        <w:t>g/mL范围内线性关系良好</w:t>
      </w:r>
      <w:r>
        <w:rPr>
          <w:rFonts w:hint="eastAsia" w:eastAsia="仿宋"/>
          <w:color w:val="auto"/>
          <w:szCs w:val="28"/>
        </w:rPr>
        <w:t>。</w:t>
      </w:r>
      <w:r>
        <w:rPr>
          <w:rFonts w:eastAsia="仿宋"/>
          <w:color w:val="auto"/>
          <w:szCs w:val="28"/>
        </w:rPr>
        <w:t>结果见表</w:t>
      </w:r>
      <w:r>
        <w:rPr>
          <w:rFonts w:hint="eastAsia" w:eastAsia="仿宋"/>
          <w:color w:val="auto"/>
          <w:szCs w:val="28"/>
          <w:lang w:val="en-US" w:eastAsia="zh-CN"/>
        </w:rPr>
        <w:t>5</w:t>
      </w:r>
      <w:r>
        <w:rPr>
          <w:rFonts w:eastAsia="仿宋"/>
          <w:color w:val="auto"/>
          <w:szCs w:val="28"/>
        </w:rPr>
        <w:t>。</w:t>
      </w:r>
    </w:p>
    <w:p w14:paraId="29D192BA">
      <w:pPr>
        <w:pStyle w:val="6"/>
        <w:tabs>
          <w:tab w:val="left" w:pos="8100"/>
        </w:tabs>
        <w:spacing w:line="460" w:lineRule="exact"/>
        <w:ind w:right="25" w:rightChars="12" w:firstLine="420" w:firstLineChars="200"/>
        <w:jc w:val="center"/>
        <w:rPr>
          <w:rFonts w:eastAsia="仿宋"/>
          <w:color w:val="auto"/>
          <w:sz w:val="21"/>
          <w:szCs w:val="21"/>
        </w:rPr>
      </w:pPr>
      <w:r>
        <w:rPr>
          <w:rFonts w:eastAsia="仿宋"/>
          <w:color w:val="auto"/>
          <w:sz w:val="21"/>
          <w:szCs w:val="21"/>
        </w:rPr>
        <w:t>表</w:t>
      </w:r>
      <w:r>
        <w:rPr>
          <w:rFonts w:hint="eastAsia" w:eastAsia="仿宋"/>
          <w:color w:val="auto"/>
          <w:sz w:val="21"/>
          <w:szCs w:val="21"/>
          <w:lang w:val="en-US" w:eastAsia="zh-CN"/>
        </w:rPr>
        <w:t>5</w:t>
      </w:r>
      <w:r>
        <w:rPr>
          <w:rFonts w:hint="eastAsia" w:eastAsia="仿宋"/>
          <w:color w:val="auto"/>
          <w:sz w:val="21"/>
          <w:szCs w:val="21"/>
        </w:rPr>
        <w:t xml:space="preserve"> 草铵膦</w:t>
      </w:r>
      <w:r>
        <w:rPr>
          <w:rFonts w:eastAsia="仿宋"/>
          <w:color w:val="auto"/>
          <w:sz w:val="21"/>
          <w:szCs w:val="21"/>
        </w:rPr>
        <w:t>线性范围</w:t>
      </w:r>
    </w:p>
    <w:tbl>
      <w:tblPr>
        <w:tblStyle w:val="22"/>
        <w:tblW w:w="7883"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7"/>
        <w:gridCol w:w="858"/>
        <w:gridCol w:w="961"/>
        <w:gridCol w:w="1062"/>
        <w:gridCol w:w="1061"/>
        <w:gridCol w:w="1061"/>
        <w:gridCol w:w="1213"/>
      </w:tblGrid>
      <w:tr w14:paraId="6788526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667" w:type="dxa"/>
            <w:tcBorders>
              <w:top w:val="single" w:color="auto" w:sz="12" w:space="0"/>
              <w:bottom w:val="single" w:color="auto" w:sz="8" w:space="0"/>
            </w:tcBorders>
            <w:vAlign w:val="center"/>
          </w:tcPr>
          <w:p w14:paraId="6B8CF30B">
            <w:pPr>
              <w:jc w:val="center"/>
              <w:rPr>
                <w:rFonts w:eastAsia="仿宋"/>
                <w:color w:val="auto"/>
                <w:kern w:val="0"/>
                <w:szCs w:val="21"/>
              </w:rPr>
            </w:pPr>
            <w:r>
              <w:rPr>
                <w:rFonts w:eastAsia="仿宋"/>
                <w:color w:val="auto"/>
                <w:kern w:val="0"/>
                <w:szCs w:val="21"/>
              </w:rPr>
              <w:t>浓度 (μg/mL)</w:t>
            </w:r>
          </w:p>
        </w:tc>
        <w:tc>
          <w:tcPr>
            <w:tcW w:w="858" w:type="dxa"/>
            <w:tcBorders>
              <w:top w:val="single" w:color="auto" w:sz="12" w:space="0"/>
              <w:bottom w:val="single" w:color="auto" w:sz="8" w:space="0"/>
            </w:tcBorders>
            <w:vAlign w:val="center"/>
          </w:tcPr>
          <w:p w14:paraId="1778B552">
            <w:pPr>
              <w:jc w:val="center"/>
              <w:rPr>
                <w:color w:val="auto"/>
                <w:kern w:val="0"/>
                <w:szCs w:val="21"/>
              </w:rPr>
            </w:pPr>
            <w:r>
              <w:rPr>
                <w:color w:val="auto"/>
                <w:kern w:val="0"/>
                <w:szCs w:val="21"/>
              </w:rPr>
              <w:t>0.0</w:t>
            </w:r>
            <w:r>
              <w:rPr>
                <w:rFonts w:hint="eastAsia"/>
                <w:color w:val="auto"/>
                <w:kern w:val="0"/>
                <w:szCs w:val="21"/>
              </w:rPr>
              <w:t>5</w:t>
            </w:r>
          </w:p>
        </w:tc>
        <w:tc>
          <w:tcPr>
            <w:tcW w:w="961" w:type="dxa"/>
            <w:tcBorders>
              <w:top w:val="single" w:color="auto" w:sz="12" w:space="0"/>
              <w:bottom w:val="single" w:color="auto" w:sz="8" w:space="0"/>
            </w:tcBorders>
            <w:vAlign w:val="center"/>
          </w:tcPr>
          <w:p w14:paraId="7BF949DC">
            <w:pPr>
              <w:jc w:val="center"/>
              <w:rPr>
                <w:color w:val="auto"/>
                <w:kern w:val="0"/>
                <w:szCs w:val="21"/>
              </w:rPr>
            </w:pPr>
            <w:r>
              <w:rPr>
                <w:color w:val="auto"/>
                <w:kern w:val="0"/>
                <w:szCs w:val="21"/>
              </w:rPr>
              <w:t>0.10</w:t>
            </w:r>
          </w:p>
        </w:tc>
        <w:tc>
          <w:tcPr>
            <w:tcW w:w="1062" w:type="dxa"/>
            <w:tcBorders>
              <w:top w:val="single" w:color="auto" w:sz="12" w:space="0"/>
              <w:bottom w:val="single" w:color="auto" w:sz="8" w:space="0"/>
            </w:tcBorders>
            <w:vAlign w:val="center"/>
          </w:tcPr>
          <w:p w14:paraId="32E09090">
            <w:pPr>
              <w:jc w:val="center"/>
              <w:rPr>
                <w:color w:val="auto"/>
                <w:kern w:val="0"/>
                <w:szCs w:val="21"/>
              </w:rPr>
            </w:pPr>
            <w:r>
              <w:rPr>
                <w:color w:val="auto"/>
                <w:kern w:val="0"/>
                <w:szCs w:val="21"/>
              </w:rPr>
              <w:t>0.2</w:t>
            </w:r>
            <w:r>
              <w:rPr>
                <w:rFonts w:hint="eastAsia"/>
                <w:color w:val="auto"/>
                <w:kern w:val="0"/>
                <w:szCs w:val="21"/>
              </w:rPr>
              <w:t>6</w:t>
            </w:r>
          </w:p>
        </w:tc>
        <w:tc>
          <w:tcPr>
            <w:tcW w:w="1061" w:type="dxa"/>
            <w:tcBorders>
              <w:top w:val="single" w:color="auto" w:sz="12" w:space="0"/>
              <w:bottom w:val="single" w:color="auto" w:sz="8" w:space="0"/>
            </w:tcBorders>
            <w:vAlign w:val="center"/>
          </w:tcPr>
          <w:p w14:paraId="05B7CC71">
            <w:pPr>
              <w:jc w:val="center"/>
              <w:rPr>
                <w:color w:val="auto"/>
                <w:kern w:val="0"/>
                <w:szCs w:val="21"/>
              </w:rPr>
            </w:pPr>
            <w:r>
              <w:rPr>
                <w:color w:val="auto"/>
                <w:kern w:val="0"/>
                <w:szCs w:val="21"/>
              </w:rPr>
              <w:t>0.5</w:t>
            </w:r>
            <w:r>
              <w:rPr>
                <w:rFonts w:hint="eastAsia"/>
                <w:color w:val="auto"/>
                <w:kern w:val="0"/>
                <w:szCs w:val="21"/>
              </w:rPr>
              <w:t>2</w:t>
            </w:r>
          </w:p>
        </w:tc>
        <w:tc>
          <w:tcPr>
            <w:tcW w:w="1061" w:type="dxa"/>
            <w:tcBorders>
              <w:top w:val="single" w:color="auto" w:sz="12" w:space="0"/>
              <w:bottom w:val="single" w:color="auto" w:sz="8" w:space="0"/>
            </w:tcBorders>
            <w:vAlign w:val="center"/>
          </w:tcPr>
          <w:p w14:paraId="2B02E195">
            <w:pPr>
              <w:jc w:val="center"/>
              <w:rPr>
                <w:color w:val="auto"/>
                <w:kern w:val="0"/>
                <w:szCs w:val="21"/>
              </w:rPr>
            </w:pPr>
            <w:r>
              <w:rPr>
                <w:rFonts w:hint="eastAsia"/>
                <w:color w:val="auto"/>
                <w:kern w:val="0"/>
                <w:szCs w:val="21"/>
              </w:rPr>
              <w:t>0.78</w:t>
            </w:r>
          </w:p>
        </w:tc>
        <w:tc>
          <w:tcPr>
            <w:tcW w:w="1213" w:type="dxa"/>
            <w:tcBorders>
              <w:top w:val="single" w:color="auto" w:sz="12" w:space="0"/>
              <w:bottom w:val="single" w:color="auto" w:sz="8" w:space="0"/>
            </w:tcBorders>
            <w:vAlign w:val="center"/>
          </w:tcPr>
          <w:p w14:paraId="6FDF891B">
            <w:pPr>
              <w:jc w:val="center"/>
              <w:rPr>
                <w:color w:val="auto"/>
                <w:kern w:val="0"/>
                <w:szCs w:val="21"/>
              </w:rPr>
            </w:pPr>
            <w:r>
              <w:rPr>
                <w:rFonts w:hint="eastAsia"/>
                <w:color w:val="auto"/>
                <w:kern w:val="0"/>
                <w:szCs w:val="21"/>
              </w:rPr>
              <w:t>1.04</w:t>
            </w:r>
          </w:p>
        </w:tc>
      </w:tr>
      <w:tr w14:paraId="074D0F0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667" w:type="dxa"/>
            <w:tcBorders>
              <w:top w:val="single" w:color="auto" w:sz="8" w:space="0"/>
            </w:tcBorders>
            <w:vAlign w:val="center"/>
          </w:tcPr>
          <w:p w14:paraId="47442187">
            <w:pPr>
              <w:jc w:val="center"/>
              <w:rPr>
                <w:rFonts w:eastAsia="仿宋"/>
                <w:color w:val="auto"/>
                <w:kern w:val="0"/>
                <w:szCs w:val="21"/>
              </w:rPr>
            </w:pPr>
            <w:r>
              <w:rPr>
                <w:rFonts w:eastAsia="仿宋"/>
                <w:color w:val="auto"/>
                <w:kern w:val="0"/>
                <w:szCs w:val="21"/>
              </w:rPr>
              <w:t>平均响应值</w:t>
            </w:r>
          </w:p>
        </w:tc>
        <w:tc>
          <w:tcPr>
            <w:tcW w:w="858" w:type="dxa"/>
            <w:tcBorders>
              <w:top w:val="single" w:color="auto" w:sz="8" w:space="0"/>
            </w:tcBorders>
            <w:vAlign w:val="center"/>
          </w:tcPr>
          <w:p w14:paraId="7921745C">
            <w:pPr>
              <w:jc w:val="center"/>
              <w:rPr>
                <w:color w:val="auto"/>
                <w:kern w:val="0"/>
                <w:szCs w:val="21"/>
              </w:rPr>
            </w:pPr>
            <w:r>
              <w:rPr>
                <w:rFonts w:hint="eastAsia"/>
                <w:color w:val="auto"/>
                <w:kern w:val="0"/>
                <w:szCs w:val="21"/>
              </w:rPr>
              <w:t>0.0043</w:t>
            </w:r>
          </w:p>
        </w:tc>
        <w:tc>
          <w:tcPr>
            <w:tcW w:w="961" w:type="dxa"/>
            <w:tcBorders>
              <w:top w:val="single" w:color="auto" w:sz="8" w:space="0"/>
            </w:tcBorders>
            <w:vAlign w:val="center"/>
          </w:tcPr>
          <w:p w14:paraId="37A46A85">
            <w:pPr>
              <w:jc w:val="center"/>
              <w:rPr>
                <w:color w:val="auto"/>
                <w:kern w:val="0"/>
                <w:szCs w:val="21"/>
              </w:rPr>
            </w:pPr>
            <w:r>
              <w:rPr>
                <w:rFonts w:hint="eastAsia"/>
                <w:color w:val="auto"/>
                <w:kern w:val="0"/>
                <w:szCs w:val="21"/>
              </w:rPr>
              <w:t>0.0077</w:t>
            </w:r>
          </w:p>
        </w:tc>
        <w:tc>
          <w:tcPr>
            <w:tcW w:w="1062" w:type="dxa"/>
            <w:tcBorders>
              <w:top w:val="single" w:color="auto" w:sz="8" w:space="0"/>
            </w:tcBorders>
            <w:vAlign w:val="center"/>
          </w:tcPr>
          <w:p w14:paraId="04F2192D">
            <w:pPr>
              <w:jc w:val="center"/>
              <w:rPr>
                <w:color w:val="auto"/>
                <w:kern w:val="0"/>
                <w:szCs w:val="21"/>
              </w:rPr>
            </w:pPr>
            <w:r>
              <w:rPr>
                <w:rFonts w:hint="eastAsia"/>
                <w:color w:val="auto"/>
                <w:kern w:val="0"/>
                <w:szCs w:val="21"/>
              </w:rPr>
              <w:t>0.0246</w:t>
            </w:r>
          </w:p>
        </w:tc>
        <w:tc>
          <w:tcPr>
            <w:tcW w:w="1061" w:type="dxa"/>
            <w:tcBorders>
              <w:top w:val="single" w:color="auto" w:sz="8" w:space="0"/>
            </w:tcBorders>
            <w:vAlign w:val="center"/>
          </w:tcPr>
          <w:p w14:paraId="38366612">
            <w:pPr>
              <w:jc w:val="center"/>
              <w:rPr>
                <w:color w:val="auto"/>
                <w:kern w:val="0"/>
                <w:szCs w:val="21"/>
              </w:rPr>
            </w:pPr>
            <w:r>
              <w:rPr>
                <w:rFonts w:hint="eastAsia"/>
                <w:color w:val="auto"/>
                <w:kern w:val="0"/>
                <w:szCs w:val="21"/>
              </w:rPr>
              <w:t>0.0527</w:t>
            </w:r>
          </w:p>
        </w:tc>
        <w:tc>
          <w:tcPr>
            <w:tcW w:w="1061" w:type="dxa"/>
            <w:tcBorders>
              <w:top w:val="single" w:color="auto" w:sz="8" w:space="0"/>
            </w:tcBorders>
            <w:vAlign w:val="center"/>
          </w:tcPr>
          <w:p w14:paraId="08F9EBC2">
            <w:pPr>
              <w:jc w:val="center"/>
              <w:rPr>
                <w:color w:val="auto"/>
                <w:kern w:val="0"/>
                <w:szCs w:val="21"/>
              </w:rPr>
            </w:pPr>
            <w:r>
              <w:rPr>
                <w:rFonts w:hint="eastAsia"/>
                <w:color w:val="auto"/>
                <w:kern w:val="0"/>
                <w:szCs w:val="21"/>
              </w:rPr>
              <w:t>0.0779</w:t>
            </w:r>
          </w:p>
        </w:tc>
        <w:tc>
          <w:tcPr>
            <w:tcW w:w="1213" w:type="dxa"/>
            <w:tcBorders>
              <w:top w:val="single" w:color="auto" w:sz="8" w:space="0"/>
            </w:tcBorders>
            <w:vAlign w:val="center"/>
          </w:tcPr>
          <w:p w14:paraId="2122A0C3">
            <w:pPr>
              <w:jc w:val="center"/>
              <w:rPr>
                <w:color w:val="auto"/>
                <w:kern w:val="0"/>
                <w:szCs w:val="21"/>
              </w:rPr>
            </w:pPr>
            <w:r>
              <w:rPr>
                <w:rFonts w:hint="eastAsia"/>
                <w:color w:val="auto"/>
                <w:kern w:val="0"/>
                <w:szCs w:val="21"/>
              </w:rPr>
              <w:t>0.1040</w:t>
            </w:r>
          </w:p>
        </w:tc>
      </w:tr>
    </w:tbl>
    <w:p w14:paraId="09DFB8C1">
      <w:pPr>
        <w:pStyle w:val="6"/>
        <w:tabs>
          <w:tab w:val="left" w:pos="8100"/>
        </w:tabs>
        <w:spacing w:before="156" w:beforeLines="50" w:line="500" w:lineRule="exact"/>
        <w:ind w:right="25" w:rightChars="12" w:firstLine="560" w:firstLineChars="200"/>
        <w:rPr>
          <w:rFonts w:hint="eastAsia" w:ascii="Times New Roman" w:hAnsi="Times New Roman" w:eastAsia="黑体" w:cs="Times New Roman"/>
          <w:color w:val="auto"/>
          <w:kern w:val="2"/>
          <w:sz w:val="28"/>
          <w:szCs w:val="28"/>
          <w:lang w:val="en-US" w:eastAsia="zh-CN" w:bidi="ar-SA"/>
        </w:rPr>
      </w:pPr>
      <w:r>
        <w:rPr>
          <w:rFonts w:hint="eastAsia" w:ascii="Times New Roman" w:hAnsi="Times New Roman" w:eastAsia="黑体" w:cs="Times New Roman"/>
          <w:color w:val="auto"/>
          <w:kern w:val="2"/>
          <w:sz w:val="28"/>
          <w:szCs w:val="28"/>
          <w:lang w:val="en-US" w:eastAsia="zh-CN" w:bidi="ar-SA"/>
        </w:rPr>
        <w:t>6.5检出限和最低检出浓度</w:t>
      </w:r>
    </w:p>
    <w:p w14:paraId="773EF63E">
      <w:pPr>
        <w:spacing w:line="460" w:lineRule="exact"/>
        <w:ind w:firstLine="560" w:firstLineChars="200"/>
        <w:rPr>
          <w:rFonts w:hint="eastAsia" w:eastAsia="仿宋"/>
          <w:color w:val="auto"/>
          <w:sz w:val="28"/>
          <w:szCs w:val="28"/>
          <w:lang w:eastAsia="zh-CN"/>
        </w:rPr>
      </w:pPr>
      <w:r>
        <w:rPr>
          <w:rFonts w:hint="eastAsia" w:eastAsia="仿宋"/>
          <w:color w:val="auto"/>
          <w:sz w:val="28"/>
          <w:szCs w:val="28"/>
        </w:rPr>
        <w:t>根据GBZ/T 210.4-2008《职业卫生标准制定指南 第4部分：工作场所空气中化学物质测定方法》的标准差法，向玻璃纤维滤纸中加入</w:t>
      </w:r>
      <w:r>
        <w:rPr>
          <w:rFonts w:eastAsia="仿宋"/>
          <w:color w:val="auto"/>
          <w:sz w:val="28"/>
          <w:szCs w:val="28"/>
        </w:rPr>
        <w:t>浓度</w:t>
      </w:r>
      <w:r>
        <w:rPr>
          <w:rFonts w:hint="eastAsia" w:eastAsia="仿宋"/>
          <w:color w:val="auto"/>
          <w:sz w:val="28"/>
          <w:szCs w:val="28"/>
        </w:rPr>
        <w:t>接近空白的低浓度</w:t>
      </w:r>
      <w:r>
        <w:rPr>
          <w:rFonts w:eastAsia="仿宋"/>
          <w:color w:val="auto"/>
          <w:sz w:val="28"/>
          <w:szCs w:val="28"/>
        </w:rPr>
        <w:t>标准溶液</w:t>
      </w:r>
      <w:r>
        <w:rPr>
          <w:rFonts w:hint="eastAsia" w:eastAsia="仿宋"/>
          <w:color w:val="auto"/>
          <w:sz w:val="28"/>
          <w:szCs w:val="28"/>
        </w:rPr>
        <w:t>，经洗脱后</w:t>
      </w:r>
      <w:r>
        <w:rPr>
          <w:rFonts w:eastAsia="仿宋"/>
          <w:color w:val="auto"/>
          <w:sz w:val="28"/>
          <w:szCs w:val="28"/>
        </w:rPr>
        <w:t>连续测定10次，</w:t>
      </w:r>
      <w:r>
        <w:rPr>
          <w:rFonts w:hint="eastAsia" w:eastAsia="仿宋"/>
          <w:color w:val="auto"/>
          <w:sz w:val="28"/>
          <w:szCs w:val="28"/>
        </w:rPr>
        <w:t>由测定值计算浓度平均值和标准差，按式（2）计算检出限</w:t>
      </w:r>
      <w:r>
        <w:rPr>
          <w:rFonts w:hint="eastAsia" w:eastAsia="仿宋"/>
          <w:color w:val="auto"/>
          <w:sz w:val="28"/>
          <w:szCs w:val="28"/>
          <w:lang w:eastAsia="zh-CN"/>
        </w:rPr>
        <w:t>。</w:t>
      </w:r>
    </w:p>
    <w:p w14:paraId="0B26CFAE">
      <w:pPr>
        <w:spacing w:line="460" w:lineRule="exact"/>
        <w:ind w:firstLine="560" w:firstLineChars="200"/>
        <w:jc w:val="center"/>
        <w:rPr>
          <w:rFonts w:hint="default" w:ascii="Times New Roman" w:hAnsi="Times New Roman" w:cs="Times New Roman"/>
          <w:color w:val="auto"/>
          <w:kern w:val="2"/>
          <w:sz w:val="28"/>
          <w:szCs w:val="28"/>
          <w:lang w:val="en-US" w:eastAsia="zh-CN" w:bidi="ar-SA"/>
        </w:rPr>
      </w:pPr>
      <w:r>
        <w:rPr>
          <w:rFonts w:hint="eastAsia" w:eastAsia="仿宋"/>
          <w:color w:val="auto"/>
          <w:sz w:val="28"/>
          <w:szCs w:val="28"/>
          <w:lang w:val="en-US" w:eastAsia="zh-CN"/>
        </w:rPr>
        <w:t xml:space="preserve">                              d</w:t>
      </w:r>
      <w:r>
        <w:rPr>
          <w:rFonts w:eastAsia="仿宋"/>
          <w:color w:val="auto"/>
          <w:sz w:val="28"/>
          <w:szCs w:val="28"/>
        </w:rPr>
        <w:t>=3</w:t>
      </w:r>
      <w:r>
        <w:rPr>
          <w:rFonts w:hint="eastAsia" w:eastAsia="仿宋"/>
          <w:color w:val="auto"/>
          <w:sz w:val="28"/>
          <w:szCs w:val="28"/>
        </w:rPr>
        <w:t>×</w:t>
      </w:r>
      <w:r>
        <w:rPr>
          <w:rFonts w:hint="eastAsia" w:eastAsia="仿宋"/>
          <w:color w:val="auto"/>
          <w:sz w:val="28"/>
          <w:szCs w:val="28"/>
          <w:lang w:val="en-US" w:eastAsia="zh-CN"/>
        </w:rPr>
        <w:t>s</w:t>
      </w:r>
      <w:r>
        <w:rPr>
          <w:rFonts w:hint="eastAsia" w:eastAsia="仿宋"/>
          <w:color w:val="auto"/>
          <w:sz w:val="28"/>
          <w:szCs w:val="28"/>
        </w:rPr>
        <w:t>×</w:t>
      </w:r>
      <w:r>
        <w:rPr>
          <w:rFonts w:hint="eastAsia" w:eastAsia="仿宋"/>
          <w:color w:val="auto"/>
          <w:sz w:val="28"/>
          <w:szCs w:val="28"/>
          <w:lang w:val="en-US" w:eastAsia="zh-CN"/>
        </w:rPr>
        <w:fldChar w:fldCharType="begin"/>
      </w:r>
      <w:r>
        <w:rPr>
          <w:rFonts w:hint="eastAsia" w:eastAsia="仿宋"/>
          <w:color w:val="auto"/>
          <w:sz w:val="28"/>
          <w:szCs w:val="28"/>
          <w:lang w:val="en-US" w:eastAsia="zh-CN"/>
        </w:rPr>
        <w:instrText xml:space="preserve"> EQ \* jc0 \* "Font:Times New Roman" \* hps14 \o \ad(\s \up 13(—),C)</w:instrText>
      </w:r>
      <w:r>
        <w:rPr>
          <w:rFonts w:hint="eastAsia" w:eastAsia="仿宋"/>
          <w:color w:val="auto"/>
          <w:sz w:val="28"/>
          <w:szCs w:val="28"/>
          <w:lang w:val="en-US" w:eastAsia="zh-CN"/>
        </w:rPr>
        <w:fldChar w:fldCharType="end"/>
      </w:r>
      <w:r>
        <w:rPr>
          <w:rFonts w:hint="eastAsia" w:eastAsia="仿宋"/>
          <w:color w:val="auto"/>
          <w:sz w:val="28"/>
          <w:szCs w:val="28"/>
        </w:rPr>
        <w:t>÷</w:t>
      </w:r>
      <w:r>
        <w:rPr>
          <w:rFonts w:eastAsia="仿宋"/>
          <w:color w:val="auto"/>
          <w:sz w:val="28"/>
          <w:szCs w:val="28"/>
        </w:rPr>
        <w:t>C</w:t>
      </w:r>
      <w:r>
        <w:rPr>
          <w:rFonts w:hint="default" w:ascii="Cambria Math" w:hAnsi="Cambria Math" w:cs="Times New Roman"/>
          <w:color w:val="auto"/>
          <w:kern w:val="2"/>
          <w:sz w:val="28"/>
          <w:szCs w:val="28"/>
          <w:lang w:val="en-US" w:eastAsia="zh-CN" w:bidi="ar-SA"/>
        </w:rPr>
        <w:t xml:space="preserve"> </w:t>
      </w:r>
      <w:r>
        <w:rPr>
          <w:rFonts w:hint="eastAsia" w:ascii="Cambria Math" w:hAnsi="Cambria Math" w:cs="Times New Roman"/>
          <w:color w:val="auto"/>
          <w:kern w:val="2"/>
          <w:sz w:val="28"/>
          <w:szCs w:val="28"/>
          <w:lang w:val="en-US" w:eastAsia="zh-CN" w:bidi="ar-SA"/>
        </w:rPr>
        <w:t xml:space="preserve">                                              </w:t>
      </w:r>
      <w:r>
        <w:rPr>
          <w:rFonts w:hint="default" w:ascii="Times New Roman" w:hAnsi="Times New Roman" w:cs="Times New Roman"/>
          <w:color w:val="auto"/>
          <w:kern w:val="2"/>
          <w:sz w:val="28"/>
          <w:szCs w:val="28"/>
          <w:lang w:val="en-US" w:eastAsia="zh-CN" w:bidi="ar-SA"/>
        </w:rPr>
        <w:t>（</w:t>
      </w:r>
      <w:r>
        <w:rPr>
          <w:rFonts w:hint="eastAsia" w:cs="Times New Roman"/>
          <w:color w:val="auto"/>
          <w:kern w:val="2"/>
          <w:sz w:val="28"/>
          <w:szCs w:val="28"/>
          <w:lang w:val="en-US" w:eastAsia="zh-CN" w:bidi="ar-SA"/>
        </w:rPr>
        <w:t>2</w:t>
      </w:r>
      <w:r>
        <w:rPr>
          <w:rFonts w:hint="default" w:ascii="Times New Roman" w:hAnsi="Times New Roman" w:cs="Times New Roman"/>
          <w:color w:val="auto"/>
          <w:kern w:val="2"/>
          <w:sz w:val="28"/>
          <w:szCs w:val="28"/>
          <w:lang w:val="en-US" w:eastAsia="zh-CN" w:bidi="ar-SA"/>
        </w:rPr>
        <w:t>）</w:t>
      </w:r>
    </w:p>
    <w:p w14:paraId="48456E8D">
      <w:pPr>
        <w:spacing w:line="460" w:lineRule="exact"/>
        <w:ind w:firstLine="560" w:firstLineChars="200"/>
        <w:jc w:val="both"/>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式中：</w:t>
      </w:r>
    </w:p>
    <w:p w14:paraId="64E184EF">
      <w:pPr>
        <w:spacing w:line="460" w:lineRule="exact"/>
        <w:ind w:firstLine="560" w:firstLineChars="200"/>
        <w:jc w:val="both"/>
        <w:rPr>
          <w:rFonts w:hint="eastAsia"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d：检出限</w:t>
      </w:r>
      <w:r>
        <w:rPr>
          <w:rFonts w:hint="eastAsia" w:ascii="Times New Roman" w:hAnsi="Times New Roman" w:eastAsia="仿宋" w:cs="Times New Roman"/>
          <w:color w:val="auto"/>
          <w:sz w:val="28"/>
          <w:szCs w:val="28"/>
          <w:lang w:val="en-US" w:eastAsia="zh-CN"/>
        </w:rPr>
        <w:t>，单位为微克每毫升（µg/mL）；</w:t>
      </w:r>
    </w:p>
    <w:p w14:paraId="087A22C5">
      <w:pPr>
        <w:spacing w:line="460" w:lineRule="exact"/>
        <w:ind w:firstLine="560" w:firstLineChars="200"/>
        <w:jc w:val="both"/>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s：标准差，单位为微克每毫升（µg/mL）；</w:t>
      </w:r>
    </w:p>
    <w:p w14:paraId="57838ED5">
      <w:pPr>
        <w:spacing w:line="460" w:lineRule="exact"/>
        <w:ind w:firstLine="560" w:firstLineChars="200"/>
        <w:jc w:val="both"/>
        <w:rPr>
          <w:rFonts w:hint="eastAsia" w:eastAsia="仿宋"/>
          <w:color w:val="auto"/>
          <w:sz w:val="28"/>
          <w:szCs w:val="28"/>
          <w:lang w:eastAsia="zh-CN"/>
        </w:rPr>
      </w:pPr>
      <w:r>
        <w:rPr>
          <w:rFonts w:hint="eastAsia" w:eastAsia="仿宋"/>
          <w:color w:val="auto"/>
          <w:sz w:val="28"/>
          <w:szCs w:val="28"/>
          <w:lang w:val="en-US" w:eastAsia="zh-CN"/>
        </w:rPr>
        <w:fldChar w:fldCharType="begin"/>
      </w:r>
      <w:r>
        <w:rPr>
          <w:rFonts w:hint="eastAsia" w:eastAsia="仿宋"/>
          <w:color w:val="auto"/>
          <w:sz w:val="28"/>
          <w:szCs w:val="28"/>
          <w:lang w:val="en-US" w:eastAsia="zh-CN"/>
        </w:rPr>
        <w:instrText xml:space="preserve"> EQ \* jc0 \* "Font:Times New Roman" \* hps14 \o \ad(\s \up 13(—),C)</w:instrText>
      </w:r>
      <w:r>
        <w:rPr>
          <w:rFonts w:hint="eastAsia" w:eastAsia="仿宋"/>
          <w:color w:val="auto"/>
          <w:sz w:val="28"/>
          <w:szCs w:val="28"/>
          <w:lang w:val="en-US" w:eastAsia="zh-CN"/>
        </w:rPr>
        <w:fldChar w:fldCharType="end"/>
      </w:r>
      <w:r>
        <w:rPr>
          <w:rFonts w:hint="eastAsia" w:eastAsia="仿宋"/>
          <w:color w:val="auto"/>
          <w:sz w:val="28"/>
          <w:szCs w:val="28"/>
          <w:lang w:eastAsia="zh-CN"/>
        </w:rPr>
        <w:t>：平均值，单位为微克每毫升（µg/mL）；</w:t>
      </w:r>
    </w:p>
    <w:p w14:paraId="5C852DB3">
      <w:pPr>
        <w:spacing w:line="460" w:lineRule="exact"/>
        <w:ind w:firstLine="560" w:firstLineChars="200"/>
        <w:jc w:val="both"/>
        <w:rPr>
          <w:rFonts w:hint="default" w:eastAsia="仿宋"/>
          <w:color w:val="auto"/>
          <w:sz w:val="28"/>
          <w:szCs w:val="28"/>
          <w:lang w:val="en-US" w:eastAsia="zh-CN"/>
        </w:rPr>
      </w:pPr>
      <w:r>
        <w:rPr>
          <w:rFonts w:hint="eastAsia" w:eastAsia="仿宋"/>
          <w:color w:val="auto"/>
          <w:sz w:val="28"/>
          <w:szCs w:val="28"/>
          <w:lang w:val="en-US" w:eastAsia="zh-CN"/>
        </w:rPr>
        <w:t>C：浓度值，单位为微克每毫升（µg/mL）。</w:t>
      </w:r>
    </w:p>
    <w:p w14:paraId="6F6F66D0">
      <w:pPr>
        <w:spacing w:line="460" w:lineRule="exact"/>
        <w:ind w:firstLine="560" w:firstLineChars="200"/>
        <w:rPr>
          <w:rFonts w:hint="eastAsia" w:eastAsia="仿宋"/>
          <w:color w:val="auto"/>
          <w:sz w:val="28"/>
          <w:szCs w:val="28"/>
          <w:lang w:eastAsia="zh-CN"/>
        </w:rPr>
      </w:pPr>
      <w:r>
        <w:rPr>
          <w:rFonts w:eastAsia="仿宋"/>
          <w:color w:val="auto"/>
          <w:sz w:val="28"/>
          <w:szCs w:val="28"/>
        </w:rPr>
        <w:t>求得</w:t>
      </w:r>
      <w:r>
        <w:rPr>
          <w:rFonts w:hint="eastAsia" w:eastAsia="仿宋"/>
          <w:color w:val="auto"/>
          <w:sz w:val="28"/>
          <w:szCs w:val="28"/>
          <w:lang w:val="en-US" w:eastAsia="zh-CN"/>
        </w:rPr>
        <w:t>该方法</w:t>
      </w:r>
      <w:r>
        <w:rPr>
          <w:rFonts w:eastAsia="仿宋"/>
          <w:color w:val="auto"/>
          <w:sz w:val="28"/>
          <w:szCs w:val="28"/>
        </w:rPr>
        <w:t>标准偏差（S）</w:t>
      </w:r>
      <w:r>
        <w:rPr>
          <w:rFonts w:eastAsia="仿宋"/>
          <w:color w:val="auto"/>
          <w:sz w:val="28"/>
          <w:szCs w:val="28"/>
        </w:rPr>
        <w:t>为</w:t>
      </w:r>
      <w:r>
        <w:rPr>
          <w:rFonts w:hint="eastAsia" w:eastAsia="仿宋"/>
          <w:color w:val="auto"/>
          <w:sz w:val="28"/>
          <w:szCs w:val="28"/>
        </w:rPr>
        <w:t>0.004</w:t>
      </w:r>
      <w:r>
        <w:rPr>
          <w:rFonts w:eastAsia="仿宋"/>
          <w:color w:val="auto"/>
          <w:sz w:val="28"/>
          <w:szCs w:val="28"/>
        </w:rPr>
        <w:t>，</w:t>
      </w:r>
      <w:r>
        <w:rPr>
          <w:rFonts w:eastAsia="仿宋"/>
          <w:color w:val="auto"/>
          <w:sz w:val="28"/>
          <w:szCs w:val="28"/>
        </w:rPr>
        <w:t>方法检出限为0.0</w:t>
      </w:r>
      <w:r>
        <w:rPr>
          <w:rFonts w:hint="eastAsia" w:eastAsia="仿宋"/>
          <w:color w:val="auto"/>
          <w:sz w:val="28"/>
          <w:szCs w:val="28"/>
        </w:rPr>
        <w:t xml:space="preserve">12 </w:t>
      </w:r>
      <w:r>
        <w:rPr>
          <w:color w:val="auto"/>
          <w:sz w:val="28"/>
          <w:szCs w:val="28"/>
        </w:rPr>
        <w:t>µ</w:t>
      </w:r>
      <w:r>
        <w:rPr>
          <w:rFonts w:eastAsia="仿宋"/>
          <w:color w:val="auto"/>
          <w:sz w:val="28"/>
          <w:szCs w:val="28"/>
        </w:rPr>
        <w:t>g/mL（以3倍标准差计），定量下限为0.0</w:t>
      </w:r>
      <w:r>
        <w:rPr>
          <w:rFonts w:hint="eastAsia" w:eastAsia="仿宋"/>
          <w:color w:val="auto"/>
          <w:sz w:val="28"/>
          <w:szCs w:val="28"/>
        </w:rPr>
        <w:t>5</w:t>
      </w:r>
      <w:r>
        <w:rPr>
          <w:rFonts w:eastAsia="仿宋"/>
          <w:color w:val="auto"/>
          <w:sz w:val="28"/>
          <w:szCs w:val="28"/>
        </w:rPr>
        <w:t xml:space="preserve"> </w:t>
      </w:r>
      <w:r>
        <w:rPr>
          <w:color w:val="auto"/>
          <w:sz w:val="28"/>
          <w:szCs w:val="28"/>
        </w:rPr>
        <w:t>µ</w:t>
      </w:r>
      <w:r>
        <w:rPr>
          <w:rFonts w:eastAsia="仿宋"/>
          <w:color w:val="auto"/>
          <w:sz w:val="28"/>
          <w:szCs w:val="28"/>
        </w:rPr>
        <w:t>g/mL（以10倍标准差计）</w:t>
      </w:r>
      <w:r>
        <w:rPr>
          <w:rFonts w:hint="eastAsia" w:eastAsia="仿宋"/>
          <w:color w:val="auto"/>
          <w:sz w:val="28"/>
          <w:szCs w:val="28"/>
          <w:lang w:eastAsia="zh-CN"/>
        </w:rPr>
        <w:t>。</w:t>
      </w:r>
    </w:p>
    <w:p w14:paraId="6D8D973A">
      <w:pPr>
        <w:spacing w:line="460" w:lineRule="exact"/>
        <w:ind w:firstLine="560" w:firstLineChars="200"/>
        <w:rPr>
          <w:rFonts w:hint="eastAsia" w:eastAsia="仿宋"/>
          <w:color w:val="auto"/>
          <w:sz w:val="28"/>
          <w:szCs w:val="28"/>
          <w:lang w:eastAsia="zh-CN"/>
        </w:rPr>
      </w:pPr>
      <w:r>
        <w:rPr>
          <w:rFonts w:hint="eastAsia" w:eastAsia="仿宋"/>
          <w:color w:val="auto"/>
          <w:sz w:val="28"/>
          <w:szCs w:val="28"/>
        </w:rPr>
        <w:t>按式（</w:t>
      </w:r>
      <w:r>
        <w:rPr>
          <w:rFonts w:hint="eastAsia" w:eastAsia="仿宋"/>
          <w:color w:val="auto"/>
          <w:sz w:val="28"/>
          <w:szCs w:val="28"/>
          <w:lang w:val="en-US" w:eastAsia="zh-CN"/>
        </w:rPr>
        <w:t>3</w:t>
      </w:r>
      <w:r>
        <w:rPr>
          <w:rFonts w:hint="eastAsia" w:eastAsia="仿宋"/>
          <w:color w:val="auto"/>
          <w:sz w:val="28"/>
          <w:szCs w:val="28"/>
        </w:rPr>
        <w:t>）计算</w:t>
      </w:r>
      <w:r>
        <w:rPr>
          <w:rFonts w:hint="eastAsia" w:eastAsia="仿宋"/>
          <w:color w:val="auto"/>
          <w:sz w:val="28"/>
          <w:szCs w:val="28"/>
          <w:lang w:val="en-US" w:eastAsia="zh-CN"/>
        </w:rPr>
        <w:t>最低检出浓度</w:t>
      </w:r>
      <w:r>
        <w:rPr>
          <w:rFonts w:hint="eastAsia" w:eastAsia="仿宋"/>
          <w:color w:val="auto"/>
          <w:sz w:val="28"/>
          <w:szCs w:val="28"/>
          <w:lang w:eastAsia="zh-CN"/>
        </w:rPr>
        <w:t>。</w:t>
      </w:r>
    </w:p>
    <w:p w14:paraId="24C96C04">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center"/>
        <w:textAlignment w:val="auto"/>
        <w:rPr>
          <w:rFonts w:hint="default" w:ascii="Times New Roman" w:hAnsi="Times New Roman" w:cs="Times New Roman"/>
          <w:color w:val="auto"/>
          <w:kern w:val="2"/>
          <w:sz w:val="28"/>
          <w:szCs w:val="28"/>
          <w:lang w:val="en-US" w:eastAsia="zh-CN" w:bidi="ar-SA"/>
        </w:rPr>
      </w:pPr>
      <w:r>
        <w:rPr>
          <w:rFonts w:hint="eastAsia" w:hAnsi="Cambria Math" w:cs="Times New Roman"/>
          <w:i w:val="0"/>
          <w:color w:val="auto"/>
          <w:kern w:val="2"/>
          <w:sz w:val="28"/>
          <w:szCs w:val="28"/>
          <w:lang w:val="en-US" w:eastAsia="zh-CN" w:bidi="ar-SA"/>
        </w:rPr>
        <w:t xml:space="preserve">                                   </w:t>
      </w:r>
      <m:oMath>
        <m:r>
          <m:rPr>
            <m:sty m:val="p"/>
          </m:rPr>
          <w:rPr>
            <w:rFonts w:hint="default" w:ascii="Cambria Math" w:hAnsi="Cambria Math" w:cs="Times New Roman"/>
            <w:color w:val="auto"/>
            <w:kern w:val="2"/>
            <w:sz w:val="28"/>
            <w:szCs w:val="28"/>
            <w:lang w:val="en-US" w:eastAsia="zh-CN" w:bidi="ar-SA"/>
          </w:rPr>
          <m:t>c=</m:t>
        </m:r>
        <m:f>
          <m:fPr>
            <m:ctrlPr>
              <w:rPr>
                <w:rFonts w:hint="default" w:ascii="Cambria Math" w:hAnsi="Cambria Math" w:cs="Times New Roman"/>
                <w:color w:val="auto"/>
                <w:kern w:val="2"/>
                <w:sz w:val="28"/>
                <w:szCs w:val="28"/>
                <w:lang w:val="en-US" w:eastAsia="zh-CN" w:bidi="ar-SA"/>
              </w:rPr>
            </m:ctrlPr>
          </m:fPr>
          <m:num>
            <m:r>
              <m:rPr>
                <m:sty m:val="p"/>
              </m:rPr>
              <w:rPr>
                <w:rFonts w:hint="default" w:ascii="Cambria Math" w:hAnsi="Cambria Math" w:cs="Times New Roman"/>
                <w:color w:val="auto"/>
                <w:kern w:val="2"/>
                <w:sz w:val="28"/>
                <w:szCs w:val="28"/>
                <w:lang w:val="en-US" w:eastAsia="zh-CN" w:bidi="ar-SA"/>
              </w:rPr>
              <m:t>d×v</m:t>
            </m:r>
            <m:ctrlPr>
              <w:rPr>
                <w:rFonts w:hint="default" w:ascii="Cambria Math" w:hAnsi="Cambria Math" w:cs="Times New Roman"/>
                <w:color w:val="auto"/>
                <w:kern w:val="2"/>
                <w:sz w:val="28"/>
                <w:szCs w:val="28"/>
                <w:lang w:val="en-US" w:eastAsia="zh-CN" w:bidi="ar-SA"/>
              </w:rPr>
            </m:ctrlPr>
          </m:num>
          <m:den>
            <m:r>
              <m:rPr>
                <m:sty m:val="p"/>
              </m:rPr>
              <w:rPr>
                <w:rFonts w:hint="default" w:ascii="Cambria Math" w:hAnsi="Cambria Math" w:cs="Times New Roman"/>
                <w:color w:val="auto"/>
                <w:kern w:val="2"/>
                <w:sz w:val="28"/>
                <w:szCs w:val="28"/>
                <w:lang w:val="en-US" w:eastAsia="zh-CN" w:bidi="ar-SA"/>
              </w:rPr>
              <m:t>V</m:t>
            </m:r>
            <m:ctrlPr>
              <w:rPr>
                <w:rFonts w:hint="default" w:ascii="Cambria Math" w:hAnsi="Cambria Math" w:cs="Times New Roman"/>
                <w:color w:val="auto"/>
                <w:kern w:val="2"/>
                <w:sz w:val="28"/>
                <w:szCs w:val="28"/>
                <w:lang w:val="en-US" w:eastAsia="zh-CN" w:bidi="ar-SA"/>
              </w:rPr>
            </m:ctrlPr>
          </m:den>
        </m:f>
      </m:oMath>
      <w:r>
        <w:rPr>
          <w:rFonts w:hint="eastAsia" w:hAnsi="Cambria Math" w:cs="Times New Roman"/>
          <w:i w:val="0"/>
          <w:color w:val="auto"/>
          <w:kern w:val="2"/>
          <w:sz w:val="28"/>
          <w:szCs w:val="28"/>
          <w:lang w:val="en-US" w:eastAsia="zh-CN" w:bidi="ar-SA"/>
        </w:rPr>
        <w:t xml:space="preserve">                                                   </w:t>
      </w:r>
      <w:r>
        <w:rPr>
          <w:rFonts w:hint="default" w:ascii="Times New Roman" w:hAnsi="Times New Roman" w:cs="Times New Roman"/>
          <w:color w:val="auto"/>
          <w:kern w:val="2"/>
          <w:sz w:val="28"/>
          <w:szCs w:val="28"/>
          <w:lang w:val="en-US" w:eastAsia="zh-CN" w:bidi="ar-SA"/>
        </w:rPr>
        <w:t>（</w:t>
      </w:r>
      <w:r>
        <w:rPr>
          <w:rFonts w:hint="eastAsia" w:cs="Times New Roman"/>
          <w:color w:val="auto"/>
          <w:kern w:val="2"/>
          <w:sz w:val="28"/>
          <w:szCs w:val="28"/>
          <w:lang w:val="en-US" w:eastAsia="zh-CN" w:bidi="ar-SA"/>
        </w:rPr>
        <w:t>3</w:t>
      </w:r>
      <w:r>
        <w:rPr>
          <w:rFonts w:hint="default" w:ascii="Times New Roman" w:hAnsi="Times New Roman" w:cs="Times New Roman"/>
          <w:color w:val="auto"/>
          <w:kern w:val="2"/>
          <w:sz w:val="28"/>
          <w:szCs w:val="28"/>
          <w:lang w:val="en-US" w:eastAsia="zh-CN" w:bidi="ar-SA"/>
        </w:rPr>
        <w:t>）</w:t>
      </w:r>
    </w:p>
    <w:p w14:paraId="45EDE43F">
      <w:pPr>
        <w:spacing w:line="460" w:lineRule="exact"/>
        <w:ind w:firstLine="560" w:firstLineChars="200"/>
        <w:jc w:val="both"/>
        <w:rPr>
          <w:rFonts w:hint="eastAsia" w:ascii="Times New Roman" w:hAnsi="Times New Roman" w:eastAsia="仿宋" w:cs="Times New Roman"/>
          <w:color w:val="auto"/>
          <w:sz w:val="28"/>
          <w:szCs w:val="28"/>
          <w:lang w:val="en-US" w:eastAsia="zh-CN"/>
        </w:rPr>
      </w:pPr>
      <w:r>
        <w:rPr>
          <w:rFonts w:hint="eastAsia" w:ascii="Times New Roman" w:hAnsi="Times New Roman" w:eastAsia="仿宋" w:cs="Times New Roman"/>
          <w:color w:val="auto"/>
          <w:sz w:val="28"/>
          <w:szCs w:val="28"/>
          <w:lang w:val="en-US" w:eastAsia="zh-CN"/>
        </w:rPr>
        <w:t>式中：</w:t>
      </w:r>
    </w:p>
    <w:p w14:paraId="412927C7">
      <w:pPr>
        <w:spacing w:line="460" w:lineRule="exact"/>
        <w:ind w:firstLine="560" w:firstLineChars="200"/>
        <w:jc w:val="both"/>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c：最低检出浓度，单位为毫克每立方米（mg/m</w:t>
      </w:r>
      <w:r>
        <w:rPr>
          <w:rFonts w:hint="default" w:ascii="Times New Roman" w:hAnsi="Times New Roman" w:eastAsia="仿宋" w:cs="Times New Roman"/>
          <w:color w:val="auto"/>
          <w:sz w:val="28"/>
          <w:szCs w:val="28"/>
          <w:vertAlign w:val="superscript"/>
          <w:lang w:val="en-US" w:eastAsia="zh-CN"/>
        </w:rPr>
        <w:t>3</w:t>
      </w:r>
      <w:r>
        <w:rPr>
          <w:rFonts w:hint="default" w:ascii="Times New Roman" w:hAnsi="Times New Roman" w:eastAsia="仿宋" w:cs="Times New Roman"/>
          <w:color w:val="auto"/>
          <w:sz w:val="28"/>
          <w:szCs w:val="28"/>
          <w:lang w:val="en-US" w:eastAsia="zh-CN"/>
        </w:rPr>
        <w:t>）；</w:t>
      </w:r>
    </w:p>
    <w:p w14:paraId="466126B5">
      <w:pPr>
        <w:spacing w:line="460" w:lineRule="exact"/>
        <w:ind w:firstLine="560" w:firstLineChars="200"/>
        <w:jc w:val="both"/>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d：检出限，单位为微克每毫升（µg/mL）；</w:t>
      </w:r>
    </w:p>
    <w:p w14:paraId="36ECFA7B">
      <w:pPr>
        <w:spacing w:line="460" w:lineRule="exact"/>
        <w:ind w:firstLine="560" w:firstLineChars="200"/>
        <w:jc w:val="both"/>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v：样品溶液总体积，单位为毫升（mL）</w:t>
      </w:r>
      <w:r>
        <w:rPr>
          <w:rFonts w:hint="eastAsia" w:eastAsia="仿宋" w:cs="Times New Roman"/>
          <w:color w:val="auto"/>
          <w:sz w:val="28"/>
          <w:szCs w:val="28"/>
          <w:lang w:val="en-US" w:eastAsia="zh-CN"/>
        </w:rPr>
        <w:t>；</w:t>
      </w:r>
    </w:p>
    <w:p w14:paraId="2A0A6456">
      <w:pPr>
        <w:spacing w:line="460" w:lineRule="exact"/>
        <w:ind w:firstLine="560" w:firstLineChars="200"/>
        <w:jc w:val="both"/>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V：采样体积，单位为升（L）。</w:t>
      </w:r>
    </w:p>
    <w:p w14:paraId="2D5F0799">
      <w:pPr>
        <w:spacing w:line="460" w:lineRule="exact"/>
        <w:ind w:firstLine="560" w:firstLineChars="200"/>
        <w:rPr>
          <w:rFonts w:eastAsia="仿宋"/>
          <w:color w:val="auto"/>
          <w:sz w:val="28"/>
          <w:szCs w:val="28"/>
        </w:rPr>
      </w:pPr>
      <w:r>
        <w:rPr>
          <w:rFonts w:hint="eastAsia" w:eastAsia="仿宋"/>
          <w:color w:val="auto"/>
          <w:sz w:val="28"/>
          <w:szCs w:val="28"/>
          <w:lang w:val="en-US" w:eastAsia="zh-CN"/>
        </w:rPr>
        <w:t>以采样</w:t>
      </w:r>
      <w:r>
        <w:rPr>
          <w:rFonts w:eastAsia="仿宋"/>
          <w:color w:val="auto"/>
          <w:sz w:val="28"/>
          <w:szCs w:val="28"/>
        </w:rPr>
        <w:t>样品体积30 L</w:t>
      </w:r>
      <w:r>
        <w:rPr>
          <w:rFonts w:hint="eastAsia" w:eastAsia="仿宋"/>
          <w:color w:val="auto"/>
          <w:sz w:val="28"/>
          <w:szCs w:val="28"/>
          <w:lang w:val="en-US" w:eastAsia="zh-CN"/>
        </w:rPr>
        <w:t>计算</w:t>
      </w:r>
      <w:r>
        <w:rPr>
          <w:rFonts w:eastAsia="仿宋"/>
          <w:color w:val="auto"/>
          <w:sz w:val="28"/>
          <w:szCs w:val="28"/>
        </w:rPr>
        <w:t>，</w:t>
      </w:r>
      <w:r>
        <w:rPr>
          <w:rFonts w:hint="eastAsia" w:eastAsia="仿宋"/>
          <w:color w:val="auto"/>
          <w:sz w:val="28"/>
          <w:szCs w:val="28"/>
          <w:lang w:val="en-US" w:eastAsia="zh-CN"/>
        </w:rPr>
        <w:t>该方法可测得的</w:t>
      </w:r>
      <w:r>
        <w:rPr>
          <w:rFonts w:eastAsia="仿宋"/>
          <w:color w:val="auto"/>
          <w:sz w:val="28"/>
          <w:szCs w:val="28"/>
        </w:rPr>
        <w:t>工作场所</w:t>
      </w:r>
      <w:r>
        <w:rPr>
          <w:rFonts w:hint="eastAsia" w:eastAsia="仿宋"/>
          <w:color w:val="auto"/>
          <w:sz w:val="28"/>
          <w:szCs w:val="28"/>
          <w:lang w:val="en-US" w:eastAsia="zh-CN"/>
        </w:rPr>
        <w:t>空气中草铵膦</w:t>
      </w:r>
      <w:r>
        <w:rPr>
          <w:rFonts w:eastAsia="仿宋"/>
          <w:color w:val="auto"/>
          <w:sz w:val="28"/>
          <w:szCs w:val="28"/>
        </w:rPr>
        <w:t>最低检出浓度</w:t>
      </w:r>
      <w:r>
        <w:rPr>
          <w:rFonts w:hint="eastAsia" w:eastAsia="仿宋"/>
          <w:color w:val="auto"/>
          <w:sz w:val="28"/>
          <w:szCs w:val="28"/>
          <w:lang w:val="en-US" w:eastAsia="zh-CN"/>
        </w:rPr>
        <w:t>和</w:t>
      </w:r>
      <w:r>
        <w:rPr>
          <w:rFonts w:eastAsia="仿宋"/>
          <w:color w:val="auto"/>
          <w:sz w:val="28"/>
          <w:szCs w:val="28"/>
        </w:rPr>
        <w:t>最低定量浓度</w:t>
      </w:r>
      <w:r>
        <w:rPr>
          <w:rFonts w:hint="eastAsia" w:eastAsia="仿宋"/>
          <w:color w:val="auto"/>
          <w:sz w:val="28"/>
          <w:szCs w:val="28"/>
          <w:lang w:val="en-US" w:eastAsia="zh-CN"/>
        </w:rPr>
        <w:t>分别</w:t>
      </w:r>
      <w:r>
        <w:rPr>
          <w:rFonts w:eastAsia="仿宋"/>
          <w:color w:val="auto"/>
          <w:sz w:val="28"/>
          <w:szCs w:val="28"/>
        </w:rPr>
        <w:t>为0.00</w:t>
      </w:r>
      <w:r>
        <w:rPr>
          <w:rFonts w:hint="eastAsia" w:eastAsia="仿宋"/>
          <w:color w:val="auto"/>
          <w:sz w:val="28"/>
          <w:szCs w:val="28"/>
        </w:rPr>
        <w:t>4</w:t>
      </w:r>
      <w:r>
        <w:rPr>
          <w:rFonts w:eastAsia="仿宋"/>
          <w:color w:val="auto"/>
          <w:sz w:val="28"/>
          <w:szCs w:val="28"/>
        </w:rPr>
        <w:t xml:space="preserve"> mg/m</w:t>
      </w:r>
      <w:r>
        <w:rPr>
          <w:rFonts w:eastAsia="仿宋"/>
          <w:color w:val="auto"/>
          <w:sz w:val="28"/>
          <w:szCs w:val="28"/>
          <w:vertAlign w:val="superscript"/>
        </w:rPr>
        <w:t>3</w:t>
      </w:r>
      <w:r>
        <w:rPr>
          <w:rFonts w:hint="eastAsia" w:eastAsia="仿宋"/>
          <w:color w:val="auto"/>
          <w:sz w:val="28"/>
          <w:szCs w:val="28"/>
          <w:lang w:eastAsia="zh-CN"/>
        </w:rPr>
        <w:t>和</w:t>
      </w:r>
      <w:r>
        <w:rPr>
          <w:rFonts w:eastAsia="仿宋"/>
          <w:color w:val="auto"/>
          <w:sz w:val="28"/>
          <w:szCs w:val="28"/>
        </w:rPr>
        <w:t>0.0</w:t>
      </w:r>
      <w:r>
        <w:rPr>
          <w:rFonts w:hint="eastAsia" w:eastAsia="仿宋"/>
          <w:color w:val="auto"/>
          <w:sz w:val="28"/>
          <w:szCs w:val="28"/>
        </w:rPr>
        <w:t xml:space="preserve">17 </w:t>
      </w:r>
      <w:r>
        <w:rPr>
          <w:rFonts w:eastAsia="仿宋"/>
          <w:color w:val="auto"/>
          <w:sz w:val="28"/>
          <w:szCs w:val="28"/>
        </w:rPr>
        <w:t>mg/m</w:t>
      </w:r>
      <w:r>
        <w:rPr>
          <w:rFonts w:eastAsia="仿宋"/>
          <w:color w:val="auto"/>
          <w:sz w:val="28"/>
          <w:szCs w:val="28"/>
          <w:vertAlign w:val="superscript"/>
        </w:rPr>
        <w:t>3</w:t>
      </w:r>
      <w:r>
        <w:rPr>
          <w:rFonts w:eastAsia="仿宋"/>
          <w:color w:val="auto"/>
          <w:sz w:val="28"/>
          <w:szCs w:val="28"/>
        </w:rPr>
        <w:t>。</w:t>
      </w:r>
      <w:r>
        <w:rPr>
          <w:rFonts w:hint="eastAsia" w:eastAsia="仿宋"/>
          <w:color w:val="auto"/>
          <w:sz w:val="28"/>
          <w:szCs w:val="28"/>
        </w:rPr>
        <w:t>见表</w:t>
      </w:r>
      <w:r>
        <w:rPr>
          <w:rFonts w:hint="eastAsia" w:eastAsia="仿宋"/>
          <w:color w:val="auto"/>
          <w:sz w:val="28"/>
          <w:szCs w:val="28"/>
          <w:lang w:val="en-US" w:eastAsia="zh-CN"/>
        </w:rPr>
        <w:t>6</w:t>
      </w:r>
      <w:r>
        <w:rPr>
          <w:rFonts w:hint="eastAsia" w:eastAsia="仿宋"/>
          <w:color w:val="auto"/>
          <w:sz w:val="28"/>
          <w:szCs w:val="28"/>
        </w:rPr>
        <w:t>。</w:t>
      </w:r>
    </w:p>
    <w:p w14:paraId="054B206E">
      <w:pPr>
        <w:spacing w:line="460" w:lineRule="exact"/>
        <w:ind w:firstLine="420" w:firstLineChars="200"/>
        <w:jc w:val="center"/>
        <w:rPr>
          <w:rFonts w:eastAsia="仿宋"/>
          <w:color w:val="auto"/>
          <w:szCs w:val="21"/>
        </w:rPr>
      </w:pPr>
      <w:r>
        <w:rPr>
          <w:rFonts w:hint="eastAsia" w:eastAsia="仿宋"/>
          <w:color w:val="auto"/>
          <w:szCs w:val="21"/>
        </w:rPr>
        <w:t>表</w:t>
      </w:r>
      <w:r>
        <w:rPr>
          <w:rFonts w:hint="eastAsia" w:eastAsia="仿宋"/>
          <w:color w:val="auto"/>
          <w:szCs w:val="21"/>
          <w:lang w:val="en-US" w:eastAsia="zh-CN"/>
        </w:rPr>
        <w:t>6</w:t>
      </w:r>
      <w:r>
        <w:rPr>
          <w:rFonts w:eastAsia="仿宋"/>
          <w:color w:val="auto"/>
          <w:szCs w:val="21"/>
        </w:rPr>
        <w:t xml:space="preserve"> </w:t>
      </w:r>
      <w:r>
        <w:rPr>
          <w:rFonts w:hint="eastAsia" w:eastAsia="仿宋"/>
          <w:color w:val="auto"/>
          <w:szCs w:val="21"/>
        </w:rPr>
        <w:t xml:space="preserve">草铵膦检出限 </w:t>
      </w:r>
    </w:p>
    <w:tbl>
      <w:tblPr>
        <w:tblStyle w:val="22"/>
        <w:tblW w:w="10290"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14"/>
        <w:gridCol w:w="689"/>
        <w:gridCol w:w="689"/>
        <w:gridCol w:w="703"/>
        <w:gridCol w:w="695"/>
        <w:gridCol w:w="689"/>
        <w:gridCol w:w="750"/>
        <w:gridCol w:w="709"/>
        <w:gridCol w:w="709"/>
        <w:gridCol w:w="708"/>
        <w:gridCol w:w="709"/>
        <w:gridCol w:w="1626"/>
      </w:tblGrid>
      <w:tr w14:paraId="6760286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1614" w:type="dxa"/>
            <w:tcBorders>
              <w:top w:val="single" w:color="auto" w:sz="12" w:space="0"/>
              <w:bottom w:val="single" w:color="auto" w:sz="8" w:space="0"/>
            </w:tcBorders>
            <w:vAlign w:val="center"/>
          </w:tcPr>
          <w:p w14:paraId="13F3A9A4">
            <w:pPr>
              <w:spacing w:line="460" w:lineRule="exact"/>
              <w:jc w:val="center"/>
              <w:rPr>
                <w:rFonts w:eastAsia="仿宋"/>
                <w:color w:val="auto"/>
                <w:kern w:val="0"/>
                <w:szCs w:val="21"/>
              </w:rPr>
            </w:pPr>
            <w:r>
              <w:rPr>
                <w:rFonts w:eastAsia="仿宋"/>
                <w:color w:val="auto"/>
                <w:kern w:val="0"/>
                <w:szCs w:val="21"/>
              </w:rPr>
              <w:t>加入量（μg）</w:t>
            </w:r>
          </w:p>
        </w:tc>
        <w:tc>
          <w:tcPr>
            <w:tcW w:w="7050" w:type="dxa"/>
            <w:gridSpan w:val="10"/>
            <w:tcBorders>
              <w:top w:val="single" w:color="auto" w:sz="12" w:space="0"/>
              <w:bottom w:val="single" w:color="auto" w:sz="8" w:space="0"/>
            </w:tcBorders>
            <w:vAlign w:val="center"/>
          </w:tcPr>
          <w:p w14:paraId="24F0C5C8">
            <w:pPr>
              <w:spacing w:line="460" w:lineRule="exact"/>
              <w:jc w:val="center"/>
              <w:rPr>
                <w:rFonts w:eastAsia="仿宋"/>
                <w:color w:val="auto"/>
                <w:kern w:val="0"/>
                <w:szCs w:val="21"/>
              </w:rPr>
            </w:pPr>
            <w:r>
              <w:rPr>
                <w:rFonts w:eastAsia="仿宋"/>
                <w:color w:val="auto"/>
                <w:kern w:val="0"/>
                <w:szCs w:val="21"/>
              </w:rPr>
              <w:t>测定值（μg）</w:t>
            </w:r>
          </w:p>
        </w:tc>
        <w:tc>
          <w:tcPr>
            <w:tcW w:w="1626" w:type="dxa"/>
            <w:tcBorders>
              <w:top w:val="single" w:color="auto" w:sz="12" w:space="0"/>
              <w:bottom w:val="single" w:color="auto" w:sz="8" w:space="0"/>
            </w:tcBorders>
            <w:vAlign w:val="center"/>
          </w:tcPr>
          <w:p w14:paraId="7380ACB9">
            <w:pPr>
              <w:spacing w:line="460" w:lineRule="exact"/>
              <w:jc w:val="center"/>
              <w:rPr>
                <w:rFonts w:eastAsia="仿宋"/>
                <w:color w:val="auto"/>
                <w:kern w:val="0"/>
                <w:szCs w:val="21"/>
              </w:rPr>
            </w:pPr>
            <w:r>
              <w:rPr>
                <w:rFonts w:eastAsia="仿宋"/>
                <w:color w:val="auto"/>
                <w:kern w:val="0"/>
                <w:szCs w:val="21"/>
              </w:rPr>
              <w:t>平均值（μg）</w:t>
            </w:r>
          </w:p>
        </w:tc>
      </w:tr>
      <w:tr w14:paraId="4652E5C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jc w:val="center"/>
        </w:trPr>
        <w:tc>
          <w:tcPr>
            <w:tcW w:w="1614" w:type="dxa"/>
            <w:tcBorders>
              <w:top w:val="single" w:color="auto" w:sz="8" w:space="0"/>
            </w:tcBorders>
            <w:vAlign w:val="center"/>
          </w:tcPr>
          <w:p w14:paraId="65C7699F">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52</w:t>
            </w:r>
          </w:p>
        </w:tc>
        <w:tc>
          <w:tcPr>
            <w:tcW w:w="689" w:type="dxa"/>
            <w:tcBorders>
              <w:top w:val="single" w:color="auto" w:sz="8" w:space="0"/>
            </w:tcBorders>
            <w:vAlign w:val="center"/>
          </w:tcPr>
          <w:p w14:paraId="2E59059D">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52</w:t>
            </w:r>
          </w:p>
        </w:tc>
        <w:tc>
          <w:tcPr>
            <w:tcW w:w="689" w:type="dxa"/>
            <w:tcBorders>
              <w:top w:val="single" w:color="auto" w:sz="8" w:space="0"/>
            </w:tcBorders>
            <w:vAlign w:val="center"/>
          </w:tcPr>
          <w:p w14:paraId="6A750CB2">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49</w:t>
            </w:r>
          </w:p>
        </w:tc>
        <w:tc>
          <w:tcPr>
            <w:tcW w:w="703" w:type="dxa"/>
            <w:tcBorders>
              <w:top w:val="single" w:color="auto" w:sz="8" w:space="0"/>
            </w:tcBorders>
            <w:vAlign w:val="center"/>
          </w:tcPr>
          <w:p w14:paraId="141E529A">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46</w:t>
            </w:r>
          </w:p>
        </w:tc>
        <w:tc>
          <w:tcPr>
            <w:tcW w:w="695" w:type="dxa"/>
            <w:tcBorders>
              <w:top w:val="single" w:color="auto" w:sz="8" w:space="0"/>
            </w:tcBorders>
            <w:vAlign w:val="center"/>
          </w:tcPr>
          <w:p w14:paraId="3EE6A822">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49</w:t>
            </w:r>
          </w:p>
        </w:tc>
        <w:tc>
          <w:tcPr>
            <w:tcW w:w="689" w:type="dxa"/>
            <w:tcBorders>
              <w:top w:val="single" w:color="auto" w:sz="8" w:space="0"/>
            </w:tcBorders>
            <w:vAlign w:val="center"/>
          </w:tcPr>
          <w:p w14:paraId="2007D891">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55</w:t>
            </w:r>
          </w:p>
        </w:tc>
        <w:tc>
          <w:tcPr>
            <w:tcW w:w="750" w:type="dxa"/>
            <w:tcBorders>
              <w:top w:val="single" w:color="auto" w:sz="8" w:space="0"/>
            </w:tcBorders>
            <w:vAlign w:val="center"/>
          </w:tcPr>
          <w:p w14:paraId="08083FF2">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40</w:t>
            </w:r>
          </w:p>
        </w:tc>
        <w:tc>
          <w:tcPr>
            <w:tcW w:w="709" w:type="dxa"/>
            <w:tcBorders>
              <w:top w:val="single" w:color="auto" w:sz="8" w:space="0"/>
            </w:tcBorders>
            <w:vAlign w:val="center"/>
          </w:tcPr>
          <w:p w14:paraId="707E407F">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49</w:t>
            </w:r>
          </w:p>
        </w:tc>
        <w:tc>
          <w:tcPr>
            <w:tcW w:w="709" w:type="dxa"/>
            <w:tcBorders>
              <w:top w:val="single" w:color="auto" w:sz="8" w:space="0"/>
            </w:tcBorders>
            <w:vAlign w:val="center"/>
          </w:tcPr>
          <w:p w14:paraId="58B80149">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46</w:t>
            </w:r>
          </w:p>
        </w:tc>
        <w:tc>
          <w:tcPr>
            <w:tcW w:w="708" w:type="dxa"/>
            <w:tcBorders>
              <w:top w:val="single" w:color="auto" w:sz="8" w:space="0"/>
            </w:tcBorders>
            <w:vAlign w:val="center"/>
          </w:tcPr>
          <w:p w14:paraId="43B17CCC">
            <w:pPr>
              <w:spacing w:line="460" w:lineRule="exact"/>
              <w:jc w:val="center"/>
              <w:rPr>
                <w:rFonts w:eastAsia="仿宋"/>
                <w:color w:val="auto"/>
                <w:kern w:val="0"/>
                <w:szCs w:val="21"/>
              </w:rPr>
            </w:pPr>
            <w:r>
              <w:rPr>
                <w:rFonts w:eastAsia="仿宋"/>
                <w:color w:val="auto"/>
                <w:kern w:val="0"/>
                <w:szCs w:val="21"/>
              </w:rPr>
              <w:t>0.55</w:t>
            </w:r>
          </w:p>
        </w:tc>
        <w:tc>
          <w:tcPr>
            <w:tcW w:w="709" w:type="dxa"/>
            <w:tcBorders>
              <w:top w:val="single" w:color="auto" w:sz="8" w:space="0"/>
            </w:tcBorders>
            <w:vAlign w:val="center"/>
          </w:tcPr>
          <w:p w14:paraId="40339BC5">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46</w:t>
            </w:r>
          </w:p>
        </w:tc>
        <w:tc>
          <w:tcPr>
            <w:tcW w:w="1626" w:type="dxa"/>
            <w:tcBorders>
              <w:top w:val="single" w:color="auto" w:sz="8" w:space="0"/>
            </w:tcBorders>
            <w:vAlign w:val="center"/>
          </w:tcPr>
          <w:p w14:paraId="02E2D9F0">
            <w:pPr>
              <w:spacing w:line="460" w:lineRule="exact"/>
              <w:jc w:val="center"/>
              <w:rPr>
                <w:rFonts w:eastAsia="仿宋"/>
                <w:color w:val="auto"/>
                <w:kern w:val="0"/>
                <w:szCs w:val="21"/>
              </w:rPr>
            </w:pPr>
            <w:r>
              <w:rPr>
                <w:rFonts w:eastAsia="仿宋"/>
                <w:color w:val="auto"/>
                <w:kern w:val="0"/>
                <w:szCs w:val="21"/>
              </w:rPr>
              <w:t>0.</w:t>
            </w:r>
            <w:r>
              <w:rPr>
                <w:rFonts w:hint="eastAsia" w:eastAsia="仿宋"/>
                <w:color w:val="auto"/>
                <w:kern w:val="0"/>
                <w:szCs w:val="21"/>
              </w:rPr>
              <w:t>49</w:t>
            </w:r>
          </w:p>
        </w:tc>
      </w:tr>
    </w:tbl>
    <w:p w14:paraId="1C5E1627">
      <w:pPr>
        <w:spacing w:before="156" w:beforeLines="50" w:line="500" w:lineRule="exact"/>
        <w:ind w:firstLine="560" w:firstLineChars="200"/>
        <w:rPr>
          <w:rFonts w:eastAsia="黑体"/>
          <w:color w:val="auto"/>
          <w:sz w:val="28"/>
          <w:szCs w:val="28"/>
        </w:rPr>
      </w:pPr>
      <w:r>
        <w:rPr>
          <w:rFonts w:hint="eastAsia" w:eastAsia="黑体"/>
          <w:color w:val="auto"/>
          <w:sz w:val="28"/>
          <w:szCs w:val="28"/>
          <w:lang w:val="en-US" w:eastAsia="zh-CN"/>
        </w:rPr>
        <w:t>6.6</w:t>
      </w:r>
      <w:r>
        <w:rPr>
          <w:rFonts w:eastAsia="黑体"/>
          <w:color w:val="auto"/>
          <w:sz w:val="28"/>
          <w:szCs w:val="28"/>
        </w:rPr>
        <w:t>精密度试验</w:t>
      </w:r>
    </w:p>
    <w:p w14:paraId="497B3857">
      <w:pPr>
        <w:spacing w:line="460" w:lineRule="exact"/>
        <w:ind w:firstLine="560" w:firstLineChars="200"/>
        <w:rPr>
          <w:rFonts w:eastAsia="仿宋"/>
          <w:color w:val="auto"/>
          <w:sz w:val="28"/>
          <w:szCs w:val="28"/>
        </w:rPr>
      </w:pPr>
      <w:r>
        <w:rPr>
          <w:rFonts w:eastAsia="仿宋"/>
          <w:color w:val="auto"/>
          <w:sz w:val="28"/>
          <w:szCs w:val="28"/>
        </w:rPr>
        <w:t>取36张玻璃纤维</w:t>
      </w:r>
      <w:r>
        <w:rPr>
          <w:rFonts w:hint="eastAsia" w:eastAsia="仿宋"/>
          <w:color w:val="auto"/>
          <w:sz w:val="28"/>
          <w:szCs w:val="28"/>
        </w:rPr>
        <w:t>滤纸</w:t>
      </w:r>
      <w:r>
        <w:rPr>
          <w:rFonts w:eastAsia="仿宋"/>
          <w:color w:val="auto"/>
          <w:sz w:val="28"/>
          <w:szCs w:val="28"/>
        </w:rPr>
        <w:t>分为3组，用微量注射器分别加入低（1.04 μg）、中（5.18 μg）、高（7.76 μg）三种浓度水平的草铵膦标准使用液，室温下密闭放置过夜，次日每组</w:t>
      </w:r>
      <w:r>
        <w:rPr>
          <w:rFonts w:hint="eastAsia" w:eastAsia="仿宋"/>
          <w:color w:val="auto"/>
          <w:sz w:val="28"/>
          <w:szCs w:val="28"/>
        </w:rPr>
        <w:t>各</w:t>
      </w:r>
      <w:r>
        <w:rPr>
          <w:rFonts w:eastAsia="仿宋"/>
          <w:color w:val="auto"/>
          <w:sz w:val="28"/>
          <w:szCs w:val="28"/>
        </w:rPr>
        <w:t>取6张</w:t>
      </w:r>
      <w:r>
        <w:rPr>
          <w:rFonts w:hint="eastAsia" w:eastAsia="仿宋"/>
          <w:color w:val="auto"/>
          <w:sz w:val="28"/>
          <w:szCs w:val="28"/>
        </w:rPr>
        <w:t>滤纸</w:t>
      </w:r>
      <w:r>
        <w:rPr>
          <w:rFonts w:eastAsia="仿宋"/>
          <w:color w:val="auto"/>
          <w:sz w:val="28"/>
          <w:szCs w:val="28"/>
        </w:rPr>
        <w:t>进行测定，5d内</w:t>
      </w:r>
      <w:r>
        <w:rPr>
          <w:rFonts w:hint="eastAsia" w:eastAsia="仿宋"/>
          <w:color w:val="auto"/>
          <w:sz w:val="28"/>
          <w:szCs w:val="28"/>
        </w:rPr>
        <w:t>对其余滤纸进行</w:t>
      </w:r>
      <w:r>
        <w:rPr>
          <w:rFonts w:eastAsia="仿宋"/>
          <w:color w:val="auto"/>
          <w:sz w:val="28"/>
          <w:szCs w:val="28"/>
        </w:rPr>
        <w:t>测定，计算批内</w:t>
      </w:r>
      <w:r>
        <w:rPr>
          <w:rFonts w:hint="eastAsia" w:eastAsia="仿宋"/>
          <w:color w:val="auto"/>
          <w:sz w:val="28"/>
          <w:szCs w:val="28"/>
        </w:rPr>
        <w:t>及</w:t>
      </w:r>
      <w:r>
        <w:rPr>
          <w:rFonts w:eastAsia="仿宋"/>
          <w:color w:val="auto"/>
          <w:sz w:val="28"/>
          <w:szCs w:val="28"/>
        </w:rPr>
        <w:t>批间精密度。结果显示，批内精密度为1.5%</w:t>
      </w:r>
      <w:r>
        <w:rPr>
          <w:rFonts w:hint="eastAsia" w:eastAsia="仿宋"/>
          <w:color w:val="auto"/>
          <w:sz w:val="28"/>
          <w:szCs w:val="28"/>
        </w:rPr>
        <w:t>~</w:t>
      </w:r>
      <w:r>
        <w:rPr>
          <w:rFonts w:eastAsia="仿宋"/>
          <w:color w:val="auto"/>
          <w:sz w:val="28"/>
          <w:szCs w:val="28"/>
        </w:rPr>
        <w:t>3.8%，批间精密度为0.8%</w:t>
      </w:r>
      <w:r>
        <w:rPr>
          <w:rFonts w:hint="eastAsia" w:eastAsia="仿宋"/>
          <w:color w:val="auto"/>
          <w:sz w:val="28"/>
          <w:szCs w:val="28"/>
        </w:rPr>
        <w:t>~</w:t>
      </w:r>
      <w:r>
        <w:rPr>
          <w:rFonts w:eastAsia="仿宋"/>
          <w:color w:val="auto"/>
          <w:sz w:val="28"/>
          <w:szCs w:val="28"/>
        </w:rPr>
        <w:t>4.3%</w:t>
      </w:r>
      <w:r>
        <w:rPr>
          <w:rFonts w:hint="eastAsia" w:eastAsia="仿宋"/>
          <w:color w:val="auto"/>
          <w:sz w:val="28"/>
          <w:szCs w:val="28"/>
        </w:rPr>
        <w:t>。</w:t>
      </w:r>
      <w:r>
        <w:rPr>
          <w:rFonts w:eastAsia="仿宋"/>
          <w:color w:val="auto"/>
          <w:sz w:val="28"/>
          <w:szCs w:val="28"/>
        </w:rPr>
        <w:t>具体结果</w:t>
      </w:r>
      <w:r>
        <w:rPr>
          <w:rFonts w:eastAsia="仿宋"/>
          <w:color w:val="auto"/>
          <w:sz w:val="28"/>
          <w:szCs w:val="28"/>
        </w:rPr>
        <w:t>见表</w:t>
      </w:r>
      <w:r>
        <w:rPr>
          <w:rFonts w:hint="eastAsia" w:eastAsia="仿宋"/>
          <w:color w:val="auto"/>
          <w:sz w:val="28"/>
          <w:szCs w:val="28"/>
          <w:lang w:val="en-US" w:eastAsia="zh-CN"/>
        </w:rPr>
        <w:t>7</w:t>
      </w:r>
      <w:r>
        <w:rPr>
          <w:rFonts w:eastAsia="仿宋"/>
          <w:color w:val="auto"/>
          <w:sz w:val="28"/>
          <w:szCs w:val="28"/>
        </w:rPr>
        <w:t>。</w:t>
      </w:r>
    </w:p>
    <w:p w14:paraId="25D2E3D7">
      <w:pPr>
        <w:spacing w:line="460" w:lineRule="exact"/>
        <w:ind w:firstLine="420" w:firstLineChars="200"/>
        <w:jc w:val="center"/>
        <w:rPr>
          <w:rFonts w:eastAsia="仿宋"/>
          <w:color w:val="auto"/>
          <w:szCs w:val="21"/>
        </w:rPr>
      </w:pPr>
      <w:r>
        <w:rPr>
          <w:rFonts w:eastAsia="仿宋"/>
          <w:color w:val="auto"/>
          <w:szCs w:val="21"/>
        </w:rPr>
        <w:t>表</w:t>
      </w:r>
      <w:r>
        <w:rPr>
          <w:rFonts w:hint="eastAsia" w:eastAsia="仿宋"/>
          <w:color w:val="auto"/>
          <w:szCs w:val="21"/>
          <w:lang w:val="en-US" w:eastAsia="zh-CN"/>
        </w:rPr>
        <w:t>7</w:t>
      </w:r>
      <w:r>
        <w:rPr>
          <w:rFonts w:eastAsia="仿宋"/>
          <w:color w:val="auto"/>
          <w:szCs w:val="21"/>
        </w:rPr>
        <w:t xml:space="preserve"> 精密度试验结果</w:t>
      </w:r>
    </w:p>
    <w:tbl>
      <w:tblPr>
        <w:tblStyle w:val="22"/>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82"/>
        <w:gridCol w:w="1517"/>
        <w:gridCol w:w="1320"/>
        <w:gridCol w:w="1540"/>
        <w:gridCol w:w="1276"/>
      </w:tblGrid>
      <w:tr w14:paraId="7DC3642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582" w:type="dxa"/>
            <w:vMerge w:val="restart"/>
            <w:tcBorders>
              <w:bottom w:val="single" w:color="auto" w:sz="4" w:space="0"/>
            </w:tcBorders>
            <w:vAlign w:val="center"/>
          </w:tcPr>
          <w:p w14:paraId="5A895537">
            <w:pPr>
              <w:spacing w:line="360" w:lineRule="auto"/>
              <w:jc w:val="center"/>
              <w:rPr>
                <w:rFonts w:eastAsia="仿宋"/>
                <w:color w:val="auto"/>
                <w:szCs w:val="21"/>
              </w:rPr>
            </w:pPr>
            <w:r>
              <w:rPr>
                <w:rFonts w:eastAsia="仿宋"/>
                <w:color w:val="auto"/>
                <w:szCs w:val="21"/>
              </w:rPr>
              <w:t>加标量（μg）</w:t>
            </w:r>
          </w:p>
        </w:tc>
        <w:tc>
          <w:tcPr>
            <w:tcW w:w="2837" w:type="dxa"/>
            <w:gridSpan w:val="2"/>
            <w:tcBorders>
              <w:bottom w:val="single" w:color="auto" w:sz="4" w:space="0"/>
            </w:tcBorders>
            <w:vAlign w:val="center"/>
          </w:tcPr>
          <w:p w14:paraId="2A0E32C7">
            <w:pPr>
              <w:spacing w:line="360" w:lineRule="auto"/>
              <w:jc w:val="center"/>
              <w:rPr>
                <w:rFonts w:eastAsia="仿宋"/>
                <w:color w:val="auto"/>
                <w:szCs w:val="21"/>
              </w:rPr>
            </w:pPr>
            <w:r>
              <w:rPr>
                <w:rFonts w:eastAsia="仿宋"/>
                <w:color w:val="auto"/>
                <w:szCs w:val="21"/>
              </w:rPr>
              <w:t>批内</w:t>
            </w:r>
          </w:p>
        </w:tc>
        <w:tc>
          <w:tcPr>
            <w:tcW w:w="2816" w:type="dxa"/>
            <w:gridSpan w:val="2"/>
            <w:tcBorders>
              <w:bottom w:val="single" w:color="auto" w:sz="4" w:space="0"/>
            </w:tcBorders>
            <w:vAlign w:val="center"/>
          </w:tcPr>
          <w:p w14:paraId="79643510">
            <w:pPr>
              <w:spacing w:line="360" w:lineRule="auto"/>
              <w:jc w:val="center"/>
              <w:rPr>
                <w:rFonts w:eastAsia="仿宋"/>
                <w:color w:val="auto"/>
                <w:szCs w:val="21"/>
              </w:rPr>
            </w:pPr>
            <w:r>
              <w:rPr>
                <w:rFonts w:eastAsia="仿宋"/>
                <w:color w:val="auto"/>
                <w:szCs w:val="21"/>
              </w:rPr>
              <w:t>批间</w:t>
            </w:r>
          </w:p>
        </w:tc>
      </w:tr>
      <w:tr w14:paraId="38BCE0F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2" w:type="dxa"/>
            <w:vMerge w:val="continue"/>
            <w:tcBorders>
              <w:top w:val="single" w:color="auto" w:sz="4" w:space="0"/>
              <w:bottom w:val="single" w:color="auto" w:sz="12" w:space="0"/>
            </w:tcBorders>
            <w:vAlign w:val="center"/>
          </w:tcPr>
          <w:p w14:paraId="2DBB2E4B">
            <w:pPr>
              <w:spacing w:line="360" w:lineRule="auto"/>
              <w:jc w:val="center"/>
              <w:rPr>
                <w:rFonts w:eastAsia="仿宋"/>
                <w:color w:val="auto"/>
                <w:szCs w:val="21"/>
              </w:rPr>
            </w:pPr>
          </w:p>
        </w:tc>
        <w:tc>
          <w:tcPr>
            <w:tcW w:w="1517" w:type="dxa"/>
            <w:tcBorders>
              <w:top w:val="single" w:color="auto" w:sz="4" w:space="0"/>
              <w:bottom w:val="single" w:color="auto" w:sz="12" w:space="0"/>
            </w:tcBorders>
            <w:vAlign w:val="center"/>
          </w:tcPr>
          <w:p w14:paraId="690C53AE">
            <w:pPr>
              <w:spacing w:line="360" w:lineRule="auto"/>
              <w:jc w:val="center"/>
              <w:rPr>
                <w:rFonts w:eastAsia="仿宋"/>
                <w:color w:val="auto"/>
                <w:szCs w:val="21"/>
              </w:rPr>
            </w:pPr>
            <w:r>
              <w:rPr>
                <w:rFonts w:eastAsia="仿宋"/>
                <w:color w:val="auto"/>
                <w:szCs w:val="21"/>
              </w:rPr>
              <w:t>测定量（μg）</w:t>
            </w:r>
          </w:p>
        </w:tc>
        <w:tc>
          <w:tcPr>
            <w:tcW w:w="1320" w:type="dxa"/>
            <w:tcBorders>
              <w:top w:val="single" w:color="auto" w:sz="4" w:space="0"/>
              <w:bottom w:val="single" w:color="auto" w:sz="12" w:space="0"/>
            </w:tcBorders>
            <w:vAlign w:val="center"/>
          </w:tcPr>
          <w:p w14:paraId="7626F628">
            <w:pPr>
              <w:spacing w:line="360" w:lineRule="auto"/>
              <w:jc w:val="center"/>
              <w:rPr>
                <w:rFonts w:eastAsia="仿宋"/>
                <w:color w:val="auto"/>
                <w:szCs w:val="21"/>
              </w:rPr>
            </w:pPr>
            <w:r>
              <w:rPr>
                <w:rFonts w:eastAsia="仿宋"/>
                <w:color w:val="auto"/>
                <w:szCs w:val="21"/>
              </w:rPr>
              <w:t>RSD（%）</w:t>
            </w:r>
          </w:p>
        </w:tc>
        <w:tc>
          <w:tcPr>
            <w:tcW w:w="1540" w:type="dxa"/>
            <w:tcBorders>
              <w:top w:val="single" w:color="auto" w:sz="4" w:space="0"/>
              <w:bottom w:val="single" w:color="auto" w:sz="12" w:space="0"/>
            </w:tcBorders>
            <w:vAlign w:val="center"/>
          </w:tcPr>
          <w:p w14:paraId="6EC02FD4">
            <w:pPr>
              <w:spacing w:line="360" w:lineRule="auto"/>
              <w:jc w:val="center"/>
              <w:rPr>
                <w:rFonts w:eastAsia="仿宋"/>
                <w:color w:val="auto"/>
                <w:szCs w:val="21"/>
              </w:rPr>
            </w:pPr>
            <w:r>
              <w:rPr>
                <w:rFonts w:eastAsia="仿宋"/>
                <w:color w:val="auto"/>
                <w:szCs w:val="21"/>
              </w:rPr>
              <w:t>测定量（μg）</w:t>
            </w:r>
          </w:p>
        </w:tc>
        <w:tc>
          <w:tcPr>
            <w:tcW w:w="1276" w:type="dxa"/>
            <w:tcBorders>
              <w:top w:val="single" w:color="auto" w:sz="4" w:space="0"/>
              <w:bottom w:val="single" w:color="auto" w:sz="12" w:space="0"/>
            </w:tcBorders>
            <w:vAlign w:val="center"/>
          </w:tcPr>
          <w:p w14:paraId="7BE4E0AC">
            <w:pPr>
              <w:spacing w:line="360" w:lineRule="auto"/>
              <w:jc w:val="center"/>
              <w:rPr>
                <w:rFonts w:eastAsia="仿宋"/>
                <w:color w:val="auto"/>
                <w:szCs w:val="21"/>
              </w:rPr>
            </w:pPr>
            <w:r>
              <w:rPr>
                <w:rFonts w:eastAsia="仿宋"/>
                <w:color w:val="auto"/>
                <w:szCs w:val="21"/>
              </w:rPr>
              <w:t>RSD（%）</w:t>
            </w:r>
          </w:p>
        </w:tc>
      </w:tr>
      <w:tr w14:paraId="28D5EB3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2" w:type="dxa"/>
            <w:tcBorders>
              <w:top w:val="single" w:color="auto" w:sz="12" w:space="0"/>
              <w:tl2br w:val="nil"/>
              <w:tr2bl w:val="nil"/>
            </w:tcBorders>
            <w:vAlign w:val="center"/>
          </w:tcPr>
          <w:p w14:paraId="5C9FBC42">
            <w:pPr>
              <w:spacing w:line="360" w:lineRule="auto"/>
              <w:jc w:val="center"/>
              <w:rPr>
                <w:rFonts w:eastAsia="仿宋"/>
                <w:color w:val="auto"/>
                <w:szCs w:val="21"/>
              </w:rPr>
            </w:pPr>
            <w:r>
              <w:rPr>
                <w:rFonts w:eastAsia="仿宋"/>
                <w:color w:val="auto"/>
                <w:szCs w:val="21"/>
              </w:rPr>
              <w:t>1.04</w:t>
            </w:r>
          </w:p>
        </w:tc>
        <w:tc>
          <w:tcPr>
            <w:tcW w:w="1517" w:type="dxa"/>
            <w:tcBorders>
              <w:top w:val="single" w:color="auto" w:sz="12" w:space="0"/>
              <w:tl2br w:val="nil"/>
              <w:tr2bl w:val="nil"/>
            </w:tcBorders>
            <w:vAlign w:val="center"/>
          </w:tcPr>
          <w:p w14:paraId="498FFBF2">
            <w:pPr>
              <w:spacing w:line="360" w:lineRule="auto"/>
              <w:jc w:val="center"/>
              <w:rPr>
                <w:rFonts w:eastAsia="仿宋"/>
                <w:color w:val="auto"/>
                <w:szCs w:val="21"/>
              </w:rPr>
            </w:pPr>
            <w:r>
              <w:rPr>
                <w:rFonts w:eastAsia="仿宋"/>
                <w:color w:val="auto"/>
                <w:szCs w:val="21"/>
              </w:rPr>
              <w:t>1.04±0.08</w:t>
            </w:r>
          </w:p>
        </w:tc>
        <w:tc>
          <w:tcPr>
            <w:tcW w:w="1320" w:type="dxa"/>
            <w:tcBorders>
              <w:top w:val="single" w:color="auto" w:sz="12" w:space="0"/>
              <w:tl2br w:val="nil"/>
              <w:tr2bl w:val="nil"/>
            </w:tcBorders>
            <w:vAlign w:val="center"/>
          </w:tcPr>
          <w:p w14:paraId="12ABEC26">
            <w:pPr>
              <w:spacing w:line="360" w:lineRule="auto"/>
              <w:jc w:val="center"/>
              <w:rPr>
                <w:rFonts w:eastAsia="仿宋"/>
                <w:color w:val="auto"/>
                <w:szCs w:val="21"/>
              </w:rPr>
            </w:pPr>
            <w:r>
              <w:rPr>
                <w:rFonts w:eastAsia="仿宋"/>
                <w:color w:val="auto"/>
                <w:szCs w:val="21"/>
              </w:rPr>
              <w:t>3.8</w:t>
            </w:r>
          </w:p>
        </w:tc>
        <w:tc>
          <w:tcPr>
            <w:tcW w:w="1540" w:type="dxa"/>
            <w:tcBorders>
              <w:top w:val="single" w:color="auto" w:sz="12" w:space="0"/>
              <w:tl2br w:val="nil"/>
              <w:tr2bl w:val="nil"/>
            </w:tcBorders>
            <w:vAlign w:val="center"/>
          </w:tcPr>
          <w:p w14:paraId="76C8E7A6">
            <w:pPr>
              <w:spacing w:line="360" w:lineRule="auto"/>
              <w:jc w:val="center"/>
              <w:rPr>
                <w:rFonts w:eastAsia="仿宋"/>
                <w:color w:val="auto"/>
                <w:szCs w:val="21"/>
              </w:rPr>
            </w:pPr>
            <w:r>
              <w:rPr>
                <w:rFonts w:eastAsia="仿宋"/>
                <w:color w:val="auto"/>
                <w:szCs w:val="21"/>
              </w:rPr>
              <w:t>0.96±0.08</w:t>
            </w:r>
          </w:p>
        </w:tc>
        <w:tc>
          <w:tcPr>
            <w:tcW w:w="1276" w:type="dxa"/>
            <w:tcBorders>
              <w:top w:val="single" w:color="auto" w:sz="12" w:space="0"/>
              <w:tl2br w:val="nil"/>
              <w:tr2bl w:val="nil"/>
            </w:tcBorders>
            <w:vAlign w:val="center"/>
          </w:tcPr>
          <w:p w14:paraId="35427218">
            <w:pPr>
              <w:spacing w:line="360" w:lineRule="auto"/>
              <w:jc w:val="center"/>
              <w:rPr>
                <w:rFonts w:eastAsia="仿宋"/>
                <w:color w:val="auto"/>
                <w:szCs w:val="21"/>
              </w:rPr>
            </w:pPr>
            <w:r>
              <w:rPr>
                <w:rFonts w:eastAsia="仿宋"/>
                <w:color w:val="auto"/>
                <w:szCs w:val="21"/>
              </w:rPr>
              <w:t>4.3</w:t>
            </w:r>
          </w:p>
        </w:tc>
      </w:tr>
      <w:tr w14:paraId="084DA3F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1582" w:type="dxa"/>
            <w:tcBorders>
              <w:tl2br w:val="nil"/>
              <w:tr2bl w:val="nil"/>
            </w:tcBorders>
            <w:vAlign w:val="center"/>
          </w:tcPr>
          <w:p w14:paraId="65DF9DE3">
            <w:pPr>
              <w:spacing w:line="360" w:lineRule="auto"/>
              <w:jc w:val="center"/>
              <w:rPr>
                <w:rFonts w:eastAsia="仿宋"/>
                <w:color w:val="auto"/>
                <w:szCs w:val="21"/>
              </w:rPr>
            </w:pPr>
            <w:r>
              <w:rPr>
                <w:rFonts w:eastAsia="仿宋"/>
                <w:color w:val="auto"/>
                <w:szCs w:val="21"/>
              </w:rPr>
              <w:t>5.18</w:t>
            </w:r>
          </w:p>
        </w:tc>
        <w:tc>
          <w:tcPr>
            <w:tcW w:w="1517" w:type="dxa"/>
            <w:tcBorders>
              <w:tl2br w:val="nil"/>
              <w:tr2bl w:val="nil"/>
            </w:tcBorders>
            <w:vAlign w:val="center"/>
          </w:tcPr>
          <w:p w14:paraId="7A8C2A9C">
            <w:pPr>
              <w:spacing w:line="360" w:lineRule="auto"/>
              <w:jc w:val="center"/>
              <w:rPr>
                <w:rFonts w:eastAsia="仿宋"/>
                <w:color w:val="auto"/>
                <w:szCs w:val="21"/>
              </w:rPr>
            </w:pPr>
            <w:r>
              <w:rPr>
                <w:rFonts w:eastAsia="仿宋"/>
                <w:color w:val="auto"/>
                <w:szCs w:val="21"/>
              </w:rPr>
              <w:t>5.03±0.12</w:t>
            </w:r>
          </w:p>
        </w:tc>
        <w:tc>
          <w:tcPr>
            <w:tcW w:w="1320" w:type="dxa"/>
            <w:tcBorders>
              <w:tl2br w:val="nil"/>
              <w:tr2bl w:val="nil"/>
            </w:tcBorders>
            <w:vAlign w:val="center"/>
          </w:tcPr>
          <w:p w14:paraId="69A88969">
            <w:pPr>
              <w:spacing w:line="360" w:lineRule="auto"/>
              <w:jc w:val="center"/>
              <w:rPr>
                <w:rFonts w:eastAsia="仿宋"/>
                <w:color w:val="auto"/>
                <w:szCs w:val="21"/>
              </w:rPr>
            </w:pPr>
            <w:r>
              <w:rPr>
                <w:rFonts w:eastAsia="仿宋"/>
                <w:color w:val="auto"/>
                <w:szCs w:val="21"/>
              </w:rPr>
              <w:t>1.5</w:t>
            </w:r>
          </w:p>
        </w:tc>
        <w:tc>
          <w:tcPr>
            <w:tcW w:w="1540" w:type="dxa"/>
            <w:tcBorders>
              <w:tl2br w:val="nil"/>
              <w:tr2bl w:val="nil"/>
            </w:tcBorders>
            <w:vAlign w:val="center"/>
          </w:tcPr>
          <w:p w14:paraId="38AD046E">
            <w:pPr>
              <w:spacing w:line="360" w:lineRule="auto"/>
              <w:jc w:val="center"/>
              <w:rPr>
                <w:rFonts w:eastAsia="仿宋"/>
                <w:color w:val="auto"/>
                <w:szCs w:val="21"/>
              </w:rPr>
            </w:pPr>
            <w:r>
              <w:rPr>
                <w:rFonts w:eastAsia="仿宋"/>
                <w:color w:val="auto"/>
                <w:szCs w:val="21"/>
              </w:rPr>
              <w:t>5.14±0.17</w:t>
            </w:r>
          </w:p>
        </w:tc>
        <w:tc>
          <w:tcPr>
            <w:tcW w:w="1276" w:type="dxa"/>
            <w:tcBorders>
              <w:tl2br w:val="nil"/>
              <w:tr2bl w:val="nil"/>
            </w:tcBorders>
            <w:vAlign w:val="center"/>
          </w:tcPr>
          <w:p w14:paraId="750A0D80">
            <w:pPr>
              <w:spacing w:line="360" w:lineRule="auto"/>
              <w:jc w:val="center"/>
              <w:rPr>
                <w:rFonts w:eastAsia="仿宋"/>
                <w:color w:val="auto"/>
                <w:szCs w:val="21"/>
              </w:rPr>
            </w:pPr>
            <w:r>
              <w:rPr>
                <w:rFonts w:eastAsia="仿宋"/>
                <w:color w:val="auto"/>
                <w:szCs w:val="21"/>
              </w:rPr>
              <w:t>0.8</w:t>
            </w:r>
          </w:p>
        </w:tc>
      </w:tr>
      <w:tr w14:paraId="35CAB9B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2" w:type="dxa"/>
            <w:tcBorders>
              <w:tl2br w:val="nil"/>
              <w:tr2bl w:val="nil"/>
            </w:tcBorders>
            <w:vAlign w:val="center"/>
          </w:tcPr>
          <w:p w14:paraId="64589025">
            <w:pPr>
              <w:spacing w:line="360" w:lineRule="auto"/>
              <w:jc w:val="center"/>
              <w:rPr>
                <w:rFonts w:eastAsia="仿宋"/>
                <w:color w:val="auto"/>
                <w:szCs w:val="21"/>
              </w:rPr>
            </w:pPr>
            <w:r>
              <w:rPr>
                <w:rFonts w:eastAsia="仿宋"/>
                <w:color w:val="auto"/>
                <w:szCs w:val="21"/>
              </w:rPr>
              <w:t>7.76</w:t>
            </w:r>
          </w:p>
        </w:tc>
        <w:tc>
          <w:tcPr>
            <w:tcW w:w="1517" w:type="dxa"/>
            <w:tcBorders>
              <w:tl2br w:val="nil"/>
              <w:tr2bl w:val="nil"/>
            </w:tcBorders>
            <w:vAlign w:val="center"/>
          </w:tcPr>
          <w:p w14:paraId="78A38E4B">
            <w:pPr>
              <w:spacing w:line="360" w:lineRule="auto"/>
              <w:jc w:val="center"/>
              <w:rPr>
                <w:rFonts w:eastAsia="仿宋"/>
                <w:color w:val="auto"/>
                <w:szCs w:val="21"/>
              </w:rPr>
            </w:pPr>
            <w:r>
              <w:rPr>
                <w:rFonts w:eastAsia="仿宋"/>
                <w:color w:val="auto"/>
                <w:szCs w:val="21"/>
              </w:rPr>
              <w:t>7.32±0.20</w:t>
            </w:r>
          </w:p>
        </w:tc>
        <w:tc>
          <w:tcPr>
            <w:tcW w:w="1320" w:type="dxa"/>
            <w:tcBorders>
              <w:tl2br w:val="nil"/>
              <w:tr2bl w:val="nil"/>
            </w:tcBorders>
            <w:vAlign w:val="center"/>
          </w:tcPr>
          <w:p w14:paraId="562E6A1F">
            <w:pPr>
              <w:spacing w:line="360" w:lineRule="auto"/>
              <w:jc w:val="center"/>
              <w:rPr>
                <w:rFonts w:eastAsia="仿宋"/>
                <w:color w:val="auto"/>
                <w:szCs w:val="21"/>
              </w:rPr>
            </w:pPr>
            <w:r>
              <w:rPr>
                <w:rFonts w:eastAsia="仿宋"/>
                <w:color w:val="auto"/>
                <w:szCs w:val="21"/>
              </w:rPr>
              <w:t>1.7</w:t>
            </w:r>
          </w:p>
        </w:tc>
        <w:tc>
          <w:tcPr>
            <w:tcW w:w="1540" w:type="dxa"/>
            <w:tcBorders>
              <w:tl2br w:val="nil"/>
              <w:tr2bl w:val="nil"/>
            </w:tcBorders>
            <w:vAlign w:val="center"/>
          </w:tcPr>
          <w:p w14:paraId="68CEE8BE">
            <w:pPr>
              <w:spacing w:line="360" w:lineRule="auto"/>
              <w:jc w:val="center"/>
              <w:rPr>
                <w:rFonts w:eastAsia="仿宋"/>
                <w:color w:val="auto"/>
                <w:szCs w:val="21"/>
              </w:rPr>
            </w:pPr>
            <w:r>
              <w:rPr>
                <w:rFonts w:eastAsia="仿宋"/>
                <w:color w:val="auto"/>
                <w:szCs w:val="21"/>
              </w:rPr>
              <w:t>7.36±0.28</w:t>
            </w:r>
          </w:p>
        </w:tc>
        <w:tc>
          <w:tcPr>
            <w:tcW w:w="1276" w:type="dxa"/>
            <w:tcBorders>
              <w:tl2br w:val="nil"/>
              <w:tr2bl w:val="nil"/>
            </w:tcBorders>
            <w:vAlign w:val="center"/>
          </w:tcPr>
          <w:p w14:paraId="0D56DDA5">
            <w:pPr>
              <w:spacing w:line="360" w:lineRule="auto"/>
              <w:jc w:val="center"/>
              <w:rPr>
                <w:rFonts w:eastAsia="仿宋"/>
                <w:color w:val="auto"/>
                <w:szCs w:val="21"/>
              </w:rPr>
            </w:pPr>
            <w:r>
              <w:rPr>
                <w:rFonts w:eastAsia="仿宋"/>
                <w:color w:val="auto"/>
                <w:szCs w:val="21"/>
              </w:rPr>
              <w:t>3.8</w:t>
            </w:r>
          </w:p>
        </w:tc>
      </w:tr>
    </w:tbl>
    <w:p w14:paraId="27E2C4C2">
      <w:pPr>
        <w:snapToGrid w:val="0"/>
        <w:spacing w:before="156" w:beforeLines="50" w:line="500" w:lineRule="exact"/>
        <w:ind w:firstLine="560" w:firstLineChars="200"/>
        <w:jc w:val="left"/>
        <w:rPr>
          <w:rFonts w:eastAsia="黑体"/>
          <w:color w:val="auto"/>
          <w:sz w:val="28"/>
          <w:szCs w:val="28"/>
        </w:rPr>
      </w:pPr>
      <w:r>
        <w:rPr>
          <w:rFonts w:hint="eastAsia" w:eastAsia="黑体"/>
          <w:color w:val="auto"/>
          <w:sz w:val="28"/>
          <w:szCs w:val="28"/>
          <w:lang w:val="en-US" w:eastAsia="zh-CN"/>
        </w:rPr>
        <w:t>6.7</w:t>
      </w:r>
      <w:r>
        <w:rPr>
          <w:rFonts w:hint="eastAsia" w:eastAsia="黑体"/>
          <w:color w:val="auto"/>
          <w:sz w:val="28"/>
          <w:szCs w:val="28"/>
        </w:rPr>
        <w:t>准确度</w:t>
      </w:r>
      <w:r>
        <w:rPr>
          <w:rFonts w:eastAsia="黑体"/>
          <w:color w:val="auto"/>
          <w:sz w:val="28"/>
          <w:szCs w:val="28"/>
        </w:rPr>
        <w:t>试验</w:t>
      </w:r>
    </w:p>
    <w:p w14:paraId="1B6E483F">
      <w:pPr>
        <w:spacing w:line="500" w:lineRule="exact"/>
        <w:ind w:firstLine="560" w:firstLineChars="200"/>
        <w:rPr>
          <w:rFonts w:eastAsia="仿宋"/>
          <w:color w:val="auto"/>
          <w:sz w:val="28"/>
          <w:szCs w:val="28"/>
        </w:rPr>
      </w:pPr>
      <w:r>
        <w:rPr>
          <w:rFonts w:hint="eastAsia" w:eastAsia="仿宋"/>
          <w:color w:val="auto"/>
          <w:sz w:val="28"/>
          <w:szCs w:val="28"/>
          <w:lang w:val="en-US" w:eastAsia="zh-CN"/>
        </w:rPr>
        <w:t>模拟现场采样，向未检出实际样品的洗脱液中</w:t>
      </w:r>
      <w:r>
        <w:rPr>
          <w:rFonts w:eastAsia="仿宋"/>
          <w:color w:val="auto"/>
          <w:sz w:val="28"/>
          <w:szCs w:val="28"/>
        </w:rPr>
        <w:t>分别加入低、中、高浓度的草铵膦标准溶液，每个浓度测定3次，计算</w:t>
      </w:r>
      <w:r>
        <w:rPr>
          <w:rFonts w:hint="eastAsia" w:eastAsia="仿宋"/>
          <w:color w:val="auto"/>
          <w:sz w:val="28"/>
          <w:szCs w:val="28"/>
        </w:rPr>
        <w:t>平均</w:t>
      </w:r>
      <w:r>
        <w:rPr>
          <w:rFonts w:eastAsia="仿宋"/>
          <w:color w:val="auto"/>
          <w:sz w:val="28"/>
          <w:szCs w:val="28"/>
        </w:rPr>
        <w:t>加标回收率。结果显示，加标回收率范围为93.6%</w:t>
      </w:r>
      <w:r>
        <w:rPr>
          <w:rFonts w:hint="eastAsia" w:eastAsia="仿宋"/>
          <w:color w:val="auto"/>
          <w:sz w:val="28"/>
          <w:szCs w:val="28"/>
        </w:rPr>
        <w:t>~</w:t>
      </w:r>
      <w:r>
        <w:rPr>
          <w:rFonts w:eastAsia="仿宋"/>
          <w:color w:val="auto"/>
          <w:sz w:val="28"/>
          <w:szCs w:val="28"/>
        </w:rPr>
        <w:t>101.9%，</w:t>
      </w:r>
      <w:r>
        <w:rPr>
          <w:rFonts w:eastAsia="仿宋"/>
          <w:color w:val="auto"/>
          <w:sz w:val="28"/>
          <w:szCs w:val="28"/>
        </w:rPr>
        <w:t>具体内容见表</w:t>
      </w:r>
      <w:r>
        <w:rPr>
          <w:rFonts w:hint="eastAsia" w:eastAsia="仿宋"/>
          <w:color w:val="auto"/>
          <w:sz w:val="28"/>
          <w:szCs w:val="28"/>
          <w:lang w:val="en-US" w:eastAsia="zh-CN"/>
        </w:rPr>
        <w:t>8</w:t>
      </w:r>
      <w:r>
        <w:rPr>
          <w:rFonts w:eastAsia="仿宋"/>
          <w:color w:val="auto"/>
          <w:sz w:val="28"/>
          <w:szCs w:val="28"/>
        </w:rPr>
        <w:t>。</w:t>
      </w:r>
    </w:p>
    <w:p w14:paraId="18277091">
      <w:pPr>
        <w:spacing w:line="500" w:lineRule="exact"/>
        <w:ind w:firstLine="420" w:firstLineChars="200"/>
        <w:jc w:val="center"/>
        <w:rPr>
          <w:rFonts w:eastAsia="仿宋"/>
          <w:color w:val="auto"/>
        </w:rPr>
      </w:pPr>
      <w:r>
        <w:rPr>
          <w:rFonts w:eastAsia="仿宋"/>
          <w:color w:val="auto"/>
        </w:rPr>
        <w:t>表</w:t>
      </w:r>
      <w:r>
        <w:rPr>
          <w:rFonts w:hint="eastAsia" w:eastAsia="仿宋"/>
          <w:color w:val="auto"/>
          <w:lang w:val="en-US" w:eastAsia="zh-CN"/>
        </w:rPr>
        <w:t>8</w:t>
      </w:r>
      <w:r>
        <w:rPr>
          <w:rFonts w:eastAsia="仿宋"/>
          <w:color w:val="auto"/>
        </w:rPr>
        <w:t>加标回收试验（n=</w:t>
      </w:r>
      <w:r>
        <w:rPr>
          <w:rFonts w:hint="eastAsia" w:eastAsia="仿宋"/>
          <w:color w:val="auto"/>
        </w:rPr>
        <w:t>3</w:t>
      </w:r>
      <w:r>
        <w:rPr>
          <w:rFonts w:eastAsia="仿宋"/>
          <w:color w:val="auto"/>
        </w:rPr>
        <w:t>）</w:t>
      </w:r>
    </w:p>
    <w:tbl>
      <w:tblPr>
        <w:tblStyle w:val="22"/>
        <w:tblpPr w:leftFromText="180" w:rightFromText="180" w:vertAnchor="text" w:horzAnchor="page" w:tblpXSpec="center" w:tblpY="32"/>
        <w:tblOverlap w:val="never"/>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5"/>
        <w:gridCol w:w="1586"/>
        <w:gridCol w:w="1800"/>
        <w:gridCol w:w="1520"/>
        <w:gridCol w:w="1460"/>
      </w:tblGrid>
      <w:tr w14:paraId="507C366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95" w:type="dxa"/>
            <w:tcBorders>
              <w:bottom w:val="single" w:color="auto" w:sz="12" w:space="0"/>
            </w:tcBorders>
            <w:vAlign w:val="center"/>
          </w:tcPr>
          <w:p w14:paraId="3E96DF81">
            <w:pPr>
              <w:shd w:val="clear" w:color="auto" w:fill="FFFFFF"/>
              <w:spacing w:line="360" w:lineRule="auto"/>
              <w:jc w:val="center"/>
              <w:rPr>
                <w:rFonts w:eastAsia="仿宋"/>
                <w:color w:val="auto"/>
                <w:szCs w:val="21"/>
              </w:rPr>
            </w:pPr>
            <w:r>
              <w:rPr>
                <w:rFonts w:eastAsia="仿宋"/>
                <w:color w:val="auto"/>
                <w:szCs w:val="21"/>
              </w:rPr>
              <w:t>样号</w:t>
            </w:r>
          </w:p>
        </w:tc>
        <w:tc>
          <w:tcPr>
            <w:tcW w:w="1586" w:type="dxa"/>
            <w:tcBorders>
              <w:bottom w:val="single" w:color="auto" w:sz="12" w:space="0"/>
            </w:tcBorders>
            <w:vAlign w:val="center"/>
          </w:tcPr>
          <w:p w14:paraId="3AB07703">
            <w:pPr>
              <w:spacing w:line="360" w:lineRule="auto"/>
              <w:jc w:val="center"/>
              <w:rPr>
                <w:rFonts w:eastAsia="仿宋"/>
                <w:color w:val="auto"/>
                <w:szCs w:val="21"/>
              </w:rPr>
            </w:pPr>
            <w:r>
              <w:rPr>
                <w:rFonts w:eastAsia="仿宋"/>
                <w:color w:val="auto"/>
                <w:szCs w:val="21"/>
              </w:rPr>
              <w:t>本底值（μg）</w:t>
            </w:r>
          </w:p>
        </w:tc>
        <w:tc>
          <w:tcPr>
            <w:tcW w:w="1800" w:type="dxa"/>
            <w:tcBorders>
              <w:bottom w:val="single" w:color="auto" w:sz="12" w:space="0"/>
            </w:tcBorders>
            <w:vAlign w:val="center"/>
          </w:tcPr>
          <w:p w14:paraId="5019478C">
            <w:pPr>
              <w:spacing w:line="360" w:lineRule="auto"/>
              <w:jc w:val="center"/>
              <w:rPr>
                <w:rFonts w:eastAsia="仿宋"/>
                <w:color w:val="auto"/>
                <w:szCs w:val="21"/>
              </w:rPr>
            </w:pPr>
            <w:r>
              <w:rPr>
                <w:rFonts w:eastAsia="仿宋"/>
                <w:color w:val="auto"/>
                <w:szCs w:val="21"/>
              </w:rPr>
              <w:t>加入量（μg）</w:t>
            </w:r>
          </w:p>
        </w:tc>
        <w:tc>
          <w:tcPr>
            <w:tcW w:w="1520" w:type="dxa"/>
            <w:tcBorders>
              <w:bottom w:val="single" w:color="auto" w:sz="12" w:space="0"/>
            </w:tcBorders>
            <w:vAlign w:val="center"/>
          </w:tcPr>
          <w:p w14:paraId="7D4717DE">
            <w:pPr>
              <w:spacing w:line="360" w:lineRule="auto"/>
              <w:jc w:val="center"/>
              <w:rPr>
                <w:rFonts w:eastAsia="仿宋"/>
                <w:color w:val="auto"/>
                <w:szCs w:val="21"/>
              </w:rPr>
            </w:pPr>
            <w:r>
              <w:rPr>
                <w:rFonts w:eastAsia="仿宋"/>
                <w:color w:val="auto"/>
                <w:szCs w:val="21"/>
              </w:rPr>
              <w:t>平均值（μg）</w:t>
            </w:r>
          </w:p>
        </w:tc>
        <w:tc>
          <w:tcPr>
            <w:tcW w:w="1460" w:type="dxa"/>
            <w:tcBorders>
              <w:bottom w:val="single" w:color="auto" w:sz="12" w:space="0"/>
            </w:tcBorders>
            <w:vAlign w:val="center"/>
          </w:tcPr>
          <w:p w14:paraId="32910948">
            <w:pPr>
              <w:spacing w:line="360" w:lineRule="auto"/>
              <w:jc w:val="center"/>
              <w:rPr>
                <w:rFonts w:eastAsia="仿宋"/>
                <w:color w:val="auto"/>
                <w:szCs w:val="21"/>
              </w:rPr>
            </w:pPr>
            <w:r>
              <w:rPr>
                <w:rFonts w:eastAsia="仿宋"/>
                <w:color w:val="auto"/>
                <w:szCs w:val="21"/>
              </w:rPr>
              <w:t>回收率（%）</w:t>
            </w:r>
          </w:p>
        </w:tc>
      </w:tr>
      <w:tr w14:paraId="4A6655A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95" w:type="dxa"/>
            <w:tcBorders>
              <w:top w:val="single" w:color="auto" w:sz="12" w:space="0"/>
              <w:tl2br w:val="nil"/>
              <w:tr2bl w:val="nil"/>
            </w:tcBorders>
            <w:vAlign w:val="center"/>
          </w:tcPr>
          <w:p w14:paraId="27B09F0F">
            <w:pPr>
              <w:shd w:val="clear" w:color="auto" w:fill="FFFFFF"/>
              <w:spacing w:line="360" w:lineRule="auto"/>
              <w:jc w:val="center"/>
              <w:rPr>
                <w:rFonts w:eastAsia="仿宋"/>
                <w:color w:val="auto"/>
                <w:szCs w:val="21"/>
              </w:rPr>
            </w:pPr>
            <w:r>
              <w:rPr>
                <w:rFonts w:eastAsia="仿宋"/>
                <w:color w:val="auto"/>
                <w:szCs w:val="21"/>
              </w:rPr>
              <w:t>1</w:t>
            </w:r>
          </w:p>
        </w:tc>
        <w:tc>
          <w:tcPr>
            <w:tcW w:w="1586" w:type="dxa"/>
            <w:vMerge w:val="restart"/>
            <w:tcBorders>
              <w:top w:val="single" w:color="auto" w:sz="12" w:space="0"/>
              <w:tl2br w:val="nil"/>
              <w:tr2bl w:val="nil"/>
            </w:tcBorders>
            <w:vAlign w:val="center"/>
          </w:tcPr>
          <w:p w14:paraId="1F4C5434">
            <w:pPr>
              <w:tabs>
                <w:tab w:val="left" w:pos="449"/>
                <w:tab w:val="center" w:pos="589"/>
              </w:tabs>
              <w:spacing w:line="360" w:lineRule="auto"/>
              <w:jc w:val="center"/>
              <w:rPr>
                <w:rFonts w:eastAsia="仿宋"/>
                <w:color w:val="auto"/>
                <w:szCs w:val="21"/>
              </w:rPr>
            </w:pPr>
            <w:r>
              <w:rPr>
                <w:rFonts w:eastAsia="仿宋"/>
                <w:color w:val="auto"/>
                <w:szCs w:val="21"/>
              </w:rPr>
              <w:t>/</w:t>
            </w:r>
          </w:p>
        </w:tc>
        <w:tc>
          <w:tcPr>
            <w:tcW w:w="1800" w:type="dxa"/>
            <w:tcBorders>
              <w:top w:val="single" w:color="auto" w:sz="12" w:space="0"/>
              <w:tl2br w:val="nil"/>
              <w:tr2bl w:val="nil"/>
            </w:tcBorders>
            <w:vAlign w:val="center"/>
          </w:tcPr>
          <w:p w14:paraId="0B4DD58E">
            <w:pPr>
              <w:spacing w:line="360" w:lineRule="auto"/>
              <w:jc w:val="center"/>
              <w:rPr>
                <w:rFonts w:eastAsia="仿宋"/>
                <w:color w:val="auto"/>
                <w:szCs w:val="21"/>
              </w:rPr>
            </w:pPr>
            <w:r>
              <w:rPr>
                <w:rFonts w:eastAsia="仿宋"/>
                <w:color w:val="auto"/>
                <w:szCs w:val="21"/>
              </w:rPr>
              <w:t>0.52</w:t>
            </w:r>
          </w:p>
        </w:tc>
        <w:tc>
          <w:tcPr>
            <w:tcW w:w="1520" w:type="dxa"/>
            <w:tcBorders>
              <w:top w:val="single" w:color="auto" w:sz="12" w:space="0"/>
              <w:tl2br w:val="nil"/>
              <w:tr2bl w:val="nil"/>
            </w:tcBorders>
            <w:vAlign w:val="center"/>
          </w:tcPr>
          <w:p w14:paraId="0DF1BF83">
            <w:pPr>
              <w:spacing w:line="360" w:lineRule="auto"/>
              <w:jc w:val="center"/>
              <w:rPr>
                <w:rFonts w:eastAsia="仿宋"/>
                <w:color w:val="auto"/>
                <w:szCs w:val="21"/>
              </w:rPr>
            </w:pPr>
            <w:r>
              <w:rPr>
                <w:rFonts w:eastAsia="仿宋"/>
                <w:color w:val="auto"/>
                <w:szCs w:val="21"/>
              </w:rPr>
              <w:t>0.53</w:t>
            </w:r>
          </w:p>
        </w:tc>
        <w:tc>
          <w:tcPr>
            <w:tcW w:w="1460" w:type="dxa"/>
            <w:tcBorders>
              <w:top w:val="single" w:color="auto" w:sz="12" w:space="0"/>
              <w:tl2br w:val="nil"/>
              <w:tr2bl w:val="nil"/>
            </w:tcBorders>
            <w:vAlign w:val="center"/>
          </w:tcPr>
          <w:p w14:paraId="64A461A1">
            <w:pPr>
              <w:spacing w:line="360" w:lineRule="auto"/>
              <w:jc w:val="center"/>
              <w:rPr>
                <w:rFonts w:eastAsia="仿宋"/>
                <w:color w:val="auto"/>
                <w:szCs w:val="21"/>
              </w:rPr>
            </w:pPr>
            <w:r>
              <w:rPr>
                <w:rFonts w:eastAsia="仿宋"/>
                <w:color w:val="auto"/>
                <w:szCs w:val="21"/>
              </w:rPr>
              <w:t>101.9</w:t>
            </w:r>
          </w:p>
        </w:tc>
      </w:tr>
      <w:tr w14:paraId="2AD5FC6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95" w:type="dxa"/>
            <w:tcBorders>
              <w:tl2br w:val="nil"/>
              <w:tr2bl w:val="nil"/>
            </w:tcBorders>
            <w:vAlign w:val="center"/>
          </w:tcPr>
          <w:p w14:paraId="5F490860">
            <w:pPr>
              <w:shd w:val="clear" w:color="auto" w:fill="FFFFFF"/>
              <w:spacing w:line="360" w:lineRule="auto"/>
              <w:jc w:val="center"/>
              <w:rPr>
                <w:rFonts w:eastAsia="仿宋"/>
                <w:color w:val="auto"/>
                <w:szCs w:val="21"/>
              </w:rPr>
            </w:pPr>
            <w:r>
              <w:rPr>
                <w:rFonts w:eastAsia="仿宋"/>
                <w:color w:val="auto"/>
                <w:szCs w:val="21"/>
              </w:rPr>
              <w:t>2</w:t>
            </w:r>
          </w:p>
        </w:tc>
        <w:tc>
          <w:tcPr>
            <w:tcW w:w="1586" w:type="dxa"/>
            <w:vMerge w:val="continue"/>
            <w:tcBorders>
              <w:tl2br w:val="nil"/>
              <w:tr2bl w:val="nil"/>
            </w:tcBorders>
            <w:vAlign w:val="center"/>
          </w:tcPr>
          <w:p w14:paraId="790B1820">
            <w:pPr>
              <w:spacing w:line="360" w:lineRule="auto"/>
              <w:jc w:val="center"/>
              <w:rPr>
                <w:rFonts w:eastAsia="仿宋"/>
                <w:color w:val="auto"/>
                <w:szCs w:val="21"/>
              </w:rPr>
            </w:pPr>
          </w:p>
        </w:tc>
        <w:tc>
          <w:tcPr>
            <w:tcW w:w="1800" w:type="dxa"/>
            <w:tcBorders>
              <w:tl2br w:val="nil"/>
              <w:tr2bl w:val="nil"/>
            </w:tcBorders>
            <w:vAlign w:val="center"/>
          </w:tcPr>
          <w:p w14:paraId="5EA7DC1A">
            <w:pPr>
              <w:spacing w:line="360" w:lineRule="auto"/>
              <w:jc w:val="center"/>
              <w:rPr>
                <w:rFonts w:eastAsia="仿宋"/>
                <w:color w:val="auto"/>
                <w:szCs w:val="21"/>
              </w:rPr>
            </w:pPr>
            <w:r>
              <w:rPr>
                <w:rFonts w:eastAsia="仿宋"/>
                <w:color w:val="auto"/>
                <w:szCs w:val="21"/>
              </w:rPr>
              <w:t>5.18</w:t>
            </w:r>
          </w:p>
        </w:tc>
        <w:tc>
          <w:tcPr>
            <w:tcW w:w="1520" w:type="dxa"/>
            <w:tcBorders>
              <w:tl2br w:val="nil"/>
              <w:tr2bl w:val="nil"/>
            </w:tcBorders>
            <w:vAlign w:val="center"/>
          </w:tcPr>
          <w:p w14:paraId="376B5E8E">
            <w:pPr>
              <w:spacing w:line="360" w:lineRule="auto"/>
              <w:jc w:val="center"/>
              <w:rPr>
                <w:rFonts w:eastAsia="仿宋"/>
                <w:color w:val="auto"/>
                <w:szCs w:val="21"/>
              </w:rPr>
            </w:pPr>
            <w:r>
              <w:rPr>
                <w:rFonts w:eastAsia="仿宋"/>
                <w:color w:val="auto"/>
                <w:szCs w:val="21"/>
              </w:rPr>
              <w:t>4.92</w:t>
            </w:r>
          </w:p>
        </w:tc>
        <w:tc>
          <w:tcPr>
            <w:tcW w:w="1460" w:type="dxa"/>
            <w:tcBorders>
              <w:tl2br w:val="nil"/>
              <w:tr2bl w:val="nil"/>
            </w:tcBorders>
            <w:vAlign w:val="center"/>
          </w:tcPr>
          <w:p w14:paraId="0FC3C02D">
            <w:pPr>
              <w:spacing w:line="360" w:lineRule="auto"/>
              <w:jc w:val="center"/>
              <w:rPr>
                <w:rFonts w:eastAsia="仿宋"/>
                <w:color w:val="auto"/>
                <w:szCs w:val="21"/>
              </w:rPr>
            </w:pPr>
            <w:r>
              <w:rPr>
                <w:rFonts w:eastAsia="仿宋"/>
                <w:color w:val="auto"/>
                <w:szCs w:val="21"/>
              </w:rPr>
              <w:t>95.1</w:t>
            </w:r>
          </w:p>
        </w:tc>
      </w:tr>
      <w:tr w14:paraId="5EB3498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95" w:type="dxa"/>
            <w:tcBorders>
              <w:tl2br w:val="nil"/>
              <w:tr2bl w:val="nil"/>
            </w:tcBorders>
            <w:vAlign w:val="center"/>
          </w:tcPr>
          <w:p w14:paraId="06CB2F56">
            <w:pPr>
              <w:shd w:val="clear" w:color="auto" w:fill="FFFFFF"/>
              <w:spacing w:line="360" w:lineRule="auto"/>
              <w:jc w:val="center"/>
              <w:rPr>
                <w:rFonts w:eastAsia="仿宋"/>
                <w:color w:val="auto"/>
                <w:szCs w:val="21"/>
              </w:rPr>
            </w:pPr>
            <w:r>
              <w:rPr>
                <w:rFonts w:eastAsia="仿宋"/>
                <w:color w:val="auto"/>
                <w:szCs w:val="21"/>
              </w:rPr>
              <w:t>3</w:t>
            </w:r>
          </w:p>
        </w:tc>
        <w:tc>
          <w:tcPr>
            <w:tcW w:w="1586" w:type="dxa"/>
            <w:vMerge w:val="continue"/>
            <w:tcBorders>
              <w:tl2br w:val="nil"/>
              <w:tr2bl w:val="nil"/>
            </w:tcBorders>
            <w:vAlign w:val="center"/>
          </w:tcPr>
          <w:p w14:paraId="22DF5F45">
            <w:pPr>
              <w:spacing w:line="360" w:lineRule="auto"/>
              <w:jc w:val="center"/>
              <w:rPr>
                <w:rFonts w:eastAsia="仿宋"/>
                <w:color w:val="auto"/>
                <w:szCs w:val="21"/>
              </w:rPr>
            </w:pPr>
          </w:p>
        </w:tc>
        <w:tc>
          <w:tcPr>
            <w:tcW w:w="1800" w:type="dxa"/>
            <w:tcBorders>
              <w:tl2br w:val="nil"/>
              <w:tr2bl w:val="nil"/>
            </w:tcBorders>
            <w:vAlign w:val="center"/>
          </w:tcPr>
          <w:p w14:paraId="7E27DC03">
            <w:pPr>
              <w:spacing w:line="360" w:lineRule="auto"/>
              <w:jc w:val="center"/>
              <w:rPr>
                <w:rFonts w:eastAsia="仿宋"/>
                <w:color w:val="auto"/>
                <w:szCs w:val="21"/>
              </w:rPr>
            </w:pPr>
            <w:r>
              <w:rPr>
                <w:rFonts w:eastAsia="仿宋"/>
                <w:color w:val="auto"/>
                <w:szCs w:val="21"/>
              </w:rPr>
              <w:t>7.76</w:t>
            </w:r>
          </w:p>
        </w:tc>
        <w:tc>
          <w:tcPr>
            <w:tcW w:w="1520" w:type="dxa"/>
            <w:tcBorders>
              <w:tl2br w:val="nil"/>
              <w:tr2bl w:val="nil"/>
            </w:tcBorders>
            <w:vAlign w:val="center"/>
          </w:tcPr>
          <w:p w14:paraId="209C077E">
            <w:pPr>
              <w:spacing w:line="360" w:lineRule="auto"/>
              <w:jc w:val="center"/>
              <w:rPr>
                <w:rFonts w:eastAsia="仿宋"/>
                <w:color w:val="auto"/>
                <w:szCs w:val="21"/>
              </w:rPr>
            </w:pPr>
            <w:r>
              <w:rPr>
                <w:rFonts w:eastAsia="仿宋"/>
                <w:color w:val="auto"/>
                <w:szCs w:val="21"/>
              </w:rPr>
              <w:t>7.27</w:t>
            </w:r>
          </w:p>
        </w:tc>
        <w:tc>
          <w:tcPr>
            <w:tcW w:w="1460" w:type="dxa"/>
            <w:tcBorders>
              <w:tl2br w:val="nil"/>
              <w:tr2bl w:val="nil"/>
            </w:tcBorders>
            <w:vAlign w:val="center"/>
          </w:tcPr>
          <w:p w14:paraId="56C6F361">
            <w:pPr>
              <w:spacing w:line="360" w:lineRule="auto"/>
              <w:jc w:val="center"/>
              <w:rPr>
                <w:rFonts w:eastAsia="仿宋"/>
                <w:color w:val="auto"/>
                <w:szCs w:val="21"/>
              </w:rPr>
            </w:pPr>
            <w:r>
              <w:rPr>
                <w:rFonts w:eastAsia="仿宋"/>
                <w:color w:val="auto"/>
                <w:szCs w:val="21"/>
              </w:rPr>
              <w:t>93.6</w:t>
            </w:r>
          </w:p>
        </w:tc>
      </w:tr>
    </w:tbl>
    <w:p w14:paraId="5AA30840">
      <w:pPr>
        <w:spacing w:before="156" w:beforeLines="50" w:line="500" w:lineRule="exact"/>
        <w:ind w:firstLine="560" w:firstLineChars="200"/>
        <w:rPr>
          <w:rFonts w:eastAsia="黑体"/>
          <w:color w:val="auto"/>
          <w:sz w:val="28"/>
          <w:szCs w:val="28"/>
        </w:rPr>
      </w:pPr>
      <w:r>
        <w:rPr>
          <w:rFonts w:hint="eastAsia" w:eastAsia="黑体"/>
          <w:color w:val="auto"/>
          <w:sz w:val="28"/>
          <w:szCs w:val="28"/>
          <w:lang w:val="en-US" w:eastAsia="zh-CN"/>
        </w:rPr>
        <w:t>6.8</w:t>
      </w:r>
      <w:r>
        <w:rPr>
          <w:rFonts w:eastAsia="黑体"/>
          <w:color w:val="auto"/>
          <w:sz w:val="28"/>
          <w:szCs w:val="28"/>
        </w:rPr>
        <w:t>采样效率试验</w:t>
      </w:r>
    </w:p>
    <w:p w14:paraId="088323F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eastAsia="仿宋"/>
          <w:color w:val="auto"/>
          <w:sz w:val="28"/>
          <w:szCs w:val="28"/>
          <w:lang w:eastAsia="zh-CN"/>
        </w:rPr>
      </w:pPr>
      <w:r>
        <w:rPr>
          <w:rFonts w:ascii="仿宋" w:hAnsi="仿宋" w:eastAsia="仿宋"/>
          <w:color w:val="auto"/>
          <w:sz w:val="28"/>
          <w:szCs w:val="28"/>
        </w:rPr>
        <w:t>在通风橱内</w:t>
      </w:r>
      <w:r>
        <w:rPr>
          <w:rFonts w:hint="eastAsia" w:ascii="仿宋" w:hAnsi="仿宋" w:eastAsia="仿宋"/>
          <w:color w:val="auto"/>
          <w:sz w:val="28"/>
          <w:szCs w:val="28"/>
          <w:lang w:val="en-US" w:eastAsia="zh-CN"/>
        </w:rPr>
        <w:t>模拟</w:t>
      </w:r>
      <w:r>
        <w:rPr>
          <w:rFonts w:ascii="仿宋" w:hAnsi="仿宋" w:eastAsia="仿宋"/>
          <w:color w:val="auto"/>
          <w:sz w:val="28"/>
          <w:szCs w:val="28"/>
        </w:rPr>
        <w:t>现场</w:t>
      </w:r>
      <w:r>
        <w:rPr>
          <w:rFonts w:eastAsia="仿宋"/>
          <w:color w:val="auto"/>
          <w:sz w:val="28"/>
          <w:szCs w:val="28"/>
        </w:rPr>
        <w:t>（低浓度：</w:t>
      </w:r>
      <w:r>
        <w:rPr>
          <w:rFonts w:hint="eastAsia" w:eastAsia="仿宋"/>
          <w:color w:val="auto"/>
          <w:sz w:val="28"/>
          <w:szCs w:val="28"/>
        </w:rPr>
        <w:t>0.052</w:t>
      </w:r>
      <w:r>
        <w:rPr>
          <w:rFonts w:eastAsia="仿宋"/>
          <w:color w:val="auto"/>
          <w:sz w:val="28"/>
          <w:szCs w:val="28"/>
        </w:rPr>
        <w:t xml:space="preserve"> mg/m</w:t>
      </w:r>
      <w:r>
        <w:rPr>
          <w:rFonts w:eastAsia="仿宋"/>
          <w:color w:val="auto"/>
          <w:sz w:val="28"/>
          <w:szCs w:val="28"/>
          <w:vertAlign w:val="superscript"/>
        </w:rPr>
        <w:t>3</w:t>
      </w:r>
      <w:r>
        <w:rPr>
          <w:rFonts w:eastAsia="仿宋"/>
          <w:color w:val="auto"/>
          <w:sz w:val="28"/>
          <w:szCs w:val="28"/>
        </w:rPr>
        <w:t>，高浓度：</w:t>
      </w:r>
      <w:r>
        <w:rPr>
          <w:rFonts w:hint="eastAsia" w:eastAsia="仿宋"/>
          <w:color w:val="auto"/>
          <w:sz w:val="28"/>
          <w:szCs w:val="28"/>
        </w:rPr>
        <w:t xml:space="preserve">0.17 </w:t>
      </w:r>
      <w:r>
        <w:rPr>
          <w:rFonts w:eastAsia="仿宋"/>
          <w:color w:val="auto"/>
          <w:sz w:val="28"/>
          <w:szCs w:val="28"/>
        </w:rPr>
        <w:t>mg/m</w:t>
      </w:r>
      <w:r>
        <w:rPr>
          <w:rFonts w:eastAsia="仿宋"/>
          <w:color w:val="auto"/>
          <w:sz w:val="28"/>
          <w:szCs w:val="28"/>
          <w:vertAlign w:val="superscript"/>
        </w:rPr>
        <w:t>3</w:t>
      </w:r>
      <w:r>
        <w:rPr>
          <w:rFonts w:eastAsia="仿宋"/>
          <w:color w:val="auto"/>
          <w:sz w:val="28"/>
          <w:szCs w:val="28"/>
        </w:rPr>
        <w:t>），使用采样器进行采样</w:t>
      </w:r>
      <w:r>
        <w:rPr>
          <w:rFonts w:eastAsia="仿宋"/>
          <w:color w:val="auto"/>
          <w:sz w:val="28"/>
          <w:szCs w:val="28"/>
        </w:rPr>
        <w:t>，以2 L/min流量采集15 min，1 L/min流量采集480 min</w:t>
      </w:r>
      <w:r>
        <w:rPr>
          <w:rFonts w:hint="eastAsia" w:eastAsia="仿宋"/>
          <w:color w:val="auto"/>
          <w:sz w:val="28"/>
          <w:szCs w:val="28"/>
        </w:rPr>
        <w:t>（参考G</w:t>
      </w:r>
      <w:r>
        <w:rPr>
          <w:rFonts w:eastAsia="仿宋"/>
          <w:color w:val="auto"/>
          <w:sz w:val="28"/>
          <w:szCs w:val="28"/>
        </w:rPr>
        <w:t>B17061</w:t>
      </w:r>
      <w:r>
        <w:rPr>
          <w:rFonts w:hint="eastAsia" w:eastAsia="仿宋"/>
          <w:color w:val="auto"/>
          <w:sz w:val="28"/>
          <w:szCs w:val="28"/>
        </w:rPr>
        <w:t>及职业卫生检测规范），通过滤膜夹进行串联</w:t>
      </w:r>
      <w:r>
        <w:rPr>
          <w:rFonts w:hint="eastAsia" w:eastAsia="仿宋"/>
          <w:color w:val="auto"/>
          <w:sz w:val="28"/>
          <w:szCs w:val="28"/>
          <w:lang w:eastAsia="zh-CN"/>
        </w:rPr>
        <w:t>，</w:t>
      </w:r>
      <w:r>
        <w:rPr>
          <w:rFonts w:hint="eastAsia" w:eastAsia="仿宋"/>
          <w:color w:val="auto"/>
          <w:sz w:val="28"/>
          <w:szCs w:val="28"/>
        </w:rPr>
        <w:t>高、低浓度分别采样3次，按分析步骤分别测定前后两</w:t>
      </w:r>
      <w:r>
        <w:rPr>
          <w:rFonts w:hint="eastAsia" w:eastAsia="仿宋"/>
          <w:color w:val="auto"/>
          <w:sz w:val="28"/>
          <w:szCs w:val="28"/>
          <w:lang w:val="en-US" w:eastAsia="zh-CN"/>
        </w:rPr>
        <w:t>张</w:t>
      </w:r>
      <w:r>
        <w:rPr>
          <w:rFonts w:hint="eastAsia" w:eastAsia="仿宋"/>
          <w:color w:val="auto"/>
          <w:sz w:val="28"/>
          <w:szCs w:val="28"/>
        </w:rPr>
        <w:t>玻璃纤维滤纸上</w:t>
      </w:r>
      <w:r>
        <w:rPr>
          <w:rFonts w:hint="eastAsia" w:eastAsia="仿宋"/>
          <w:color w:val="auto"/>
          <w:sz w:val="28"/>
          <w:szCs w:val="28"/>
          <w:lang w:val="en-US" w:eastAsia="zh-CN"/>
        </w:rPr>
        <w:t>草铵膦</w:t>
      </w:r>
      <w:r>
        <w:rPr>
          <w:rFonts w:hint="eastAsia" w:eastAsia="仿宋"/>
          <w:color w:val="auto"/>
          <w:sz w:val="28"/>
          <w:szCs w:val="28"/>
        </w:rPr>
        <w:t>的含量。配置实验用气的第一个空气采样器的平均采样效率按式（4）计算</w:t>
      </w:r>
      <w:r>
        <w:rPr>
          <w:rFonts w:hint="eastAsia" w:eastAsia="仿宋"/>
          <w:color w:val="auto"/>
          <w:sz w:val="28"/>
          <w:szCs w:val="28"/>
          <w:lang w:eastAsia="zh-CN"/>
        </w:rPr>
        <w:t>。</w:t>
      </w:r>
    </w:p>
    <w:p w14:paraId="649043C9">
      <w:pPr>
        <w:keepNext w:val="0"/>
        <w:keepLines w:val="0"/>
        <w:pageBreakBefore w:val="0"/>
        <w:widowControl w:val="0"/>
        <w:kinsoku/>
        <w:wordWrap/>
        <w:overflowPunct/>
        <w:topLinePunct w:val="0"/>
        <w:autoSpaceDE/>
        <w:autoSpaceDN/>
        <w:bidi w:val="0"/>
        <w:adjustRightInd/>
        <w:snapToGrid/>
        <w:spacing w:line="240" w:lineRule="auto"/>
        <w:ind w:firstLine="2800" w:firstLineChars="1000"/>
        <w:textAlignment w:val="auto"/>
        <w:rPr>
          <w:rFonts w:hint="default" w:eastAsia="仿宋"/>
          <w:color w:val="auto"/>
          <w:sz w:val="28"/>
          <w:szCs w:val="28"/>
          <w:lang w:val="en-US" w:eastAsia="zh-CN"/>
        </w:rPr>
      </w:pPr>
      <m:oMath>
        <m:r>
          <m:rPr>
            <m:sty m:val="p"/>
          </m:rPr>
          <w:rPr>
            <w:rFonts w:hint="default" w:ascii="Cambria Math" w:hAnsi="Cambria Math" w:cs="Times New Roman"/>
            <w:color w:val="auto"/>
            <w:kern w:val="2"/>
            <w:sz w:val="28"/>
            <w:szCs w:val="28"/>
            <w:lang w:val="en-US" w:eastAsia="zh-CN" w:bidi="ar-SA"/>
          </w:rPr>
          <m:t>K=</m:t>
        </m:r>
        <m:f>
          <m:fPr>
            <m:ctrlPr>
              <w:rPr>
                <w:rFonts w:hint="default" w:ascii="Cambria Math" w:hAnsi="Cambria Math" w:cs="Times New Roman"/>
                <w:color w:val="auto"/>
                <w:kern w:val="2"/>
                <w:sz w:val="28"/>
                <w:szCs w:val="28"/>
                <w:lang w:val="en-US" w:eastAsia="zh-CN" w:bidi="ar-SA"/>
              </w:rPr>
            </m:ctrlPr>
          </m:fPr>
          <m:num>
            <m:sSub>
              <m:sSubPr>
                <m:ctrlPr>
                  <w:rPr>
                    <w:rFonts w:hint="default" w:ascii="Cambria Math" w:hAnsi="Cambria Math" w:cs="Times New Roman"/>
                    <w:color w:val="auto"/>
                    <w:kern w:val="2"/>
                    <w:sz w:val="28"/>
                    <w:szCs w:val="28"/>
                    <w:lang w:val="en-US" w:eastAsia="zh-CN" w:bidi="ar-SA"/>
                  </w:rPr>
                </m:ctrlPr>
              </m:sSubPr>
              <m:e>
                <m:r>
                  <m:rPr>
                    <m:sty m:val="p"/>
                  </m:rPr>
                  <w:rPr>
                    <w:rFonts w:hint="default" w:ascii="Cambria Math" w:hAnsi="Cambria Math" w:cs="Times New Roman"/>
                    <w:color w:val="auto"/>
                    <w:kern w:val="2"/>
                    <w:sz w:val="28"/>
                    <w:szCs w:val="28"/>
                    <w:lang w:val="en-US" w:eastAsia="zh-CN" w:bidi="ar-SA"/>
                  </w:rPr>
                  <m:t>m</m:t>
                </m:r>
                <m:ctrlPr>
                  <w:rPr>
                    <w:rFonts w:hint="default" w:ascii="Cambria Math" w:hAnsi="Cambria Math" w:cs="Times New Roman"/>
                    <w:color w:val="auto"/>
                    <w:kern w:val="2"/>
                    <w:sz w:val="28"/>
                    <w:szCs w:val="28"/>
                    <w:lang w:val="en-US" w:eastAsia="zh-CN" w:bidi="ar-SA"/>
                  </w:rPr>
                </m:ctrlPr>
              </m:e>
              <m:sub>
                <m:r>
                  <m:rPr>
                    <m:sty m:val="p"/>
                  </m:rPr>
                  <w:rPr>
                    <w:rFonts w:hint="default" w:ascii="Cambria Math" w:hAnsi="Cambria Math" w:cs="Times New Roman"/>
                    <w:color w:val="auto"/>
                    <w:kern w:val="2"/>
                    <w:sz w:val="28"/>
                    <w:szCs w:val="28"/>
                    <w:lang w:val="en-US" w:eastAsia="zh-CN" w:bidi="ar-SA"/>
                  </w:rPr>
                  <m:t>1</m:t>
                </m:r>
                <m:ctrlPr>
                  <w:rPr>
                    <w:rFonts w:hint="default" w:ascii="Cambria Math" w:hAnsi="Cambria Math" w:cs="Times New Roman"/>
                    <w:color w:val="auto"/>
                    <w:kern w:val="2"/>
                    <w:sz w:val="28"/>
                    <w:szCs w:val="28"/>
                    <w:lang w:val="en-US" w:eastAsia="zh-CN" w:bidi="ar-SA"/>
                  </w:rPr>
                </m:ctrlPr>
              </m:sub>
            </m:sSub>
            <m:ctrlPr>
              <w:rPr>
                <w:rFonts w:hint="default" w:ascii="Cambria Math" w:hAnsi="Cambria Math" w:cs="Times New Roman"/>
                <w:color w:val="auto"/>
                <w:kern w:val="2"/>
                <w:sz w:val="28"/>
                <w:szCs w:val="28"/>
                <w:lang w:val="en-US" w:eastAsia="zh-CN" w:bidi="ar-SA"/>
              </w:rPr>
            </m:ctrlPr>
          </m:num>
          <m:den>
            <m:sSub>
              <m:sSubPr>
                <m:ctrlPr>
                  <w:rPr>
                    <w:rFonts w:hint="default" w:ascii="Cambria Math" w:hAnsi="Cambria Math" w:cs="Times New Roman"/>
                    <w:i w:val="0"/>
                    <w:color w:val="auto"/>
                    <w:kern w:val="2"/>
                    <w:sz w:val="28"/>
                    <w:szCs w:val="28"/>
                    <w:lang w:val="en-US" w:eastAsia="zh-CN" w:bidi="ar-SA"/>
                  </w:rPr>
                </m:ctrlPr>
              </m:sSubPr>
              <m:e>
                <m:r>
                  <m:rPr>
                    <m:sty m:val="p"/>
                  </m:rPr>
                  <w:rPr>
                    <w:rFonts w:hint="default" w:ascii="Cambria Math" w:hAnsi="Cambria Math" w:cs="Times New Roman"/>
                    <w:color w:val="auto"/>
                    <w:kern w:val="2"/>
                    <w:sz w:val="28"/>
                    <w:szCs w:val="28"/>
                    <w:lang w:val="en-US" w:eastAsia="zh-CN" w:bidi="ar-SA"/>
                  </w:rPr>
                  <m:t>m</m:t>
                </m:r>
                <m:ctrlPr>
                  <w:rPr>
                    <w:rFonts w:hint="default" w:ascii="Cambria Math" w:hAnsi="Cambria Math" w:cs="Times New Roman"/>
                    <w:i w:val="0"/>
                    <w:color w:val="auto"/>
                    <w:kern w:val="2"/>
                    <w:sz w:val="28"/>
                    <w:szCs w:val="28"/>
                    <w:lang w:val="en-US" w:eastAsia="zh-CN" w:bidi="ar-SA"/>
                  </w:rPr>
                </m:ctrlPr>
              </m:e>
              <m:sub>
                <m:r>
                  <m:rPr>
                    <m:sty m:val="p"/>
                  </m:rPr>
                  <w:rPr>
                    <w:rFonts w:hint="default" w:ascii="Cambria Math" w:hAnsi="Cambria Math" w:cs="Times New Roman"/>
                    <w:color w:val="auto"/>
                    <w:kern w:val="2"/>
                    <w:sz w:val="28"/>
                    <w:szCs w:val="28"/>
                    <w:lang w:val="en-US" w:eastAsia="zh-CN" w:bidi="ar-SA"/>
                  </w:rPr>
                  <m:t>1</m:t>
                </m:r>
                <m:ctrlPr>
                  <w:rPr>
                    <w:rFonts w:hint="default" w:ascii="Cambria Math" w:hAnsi="Cambria Math" w:cs="Times New Roman"/>
                    <w:i w:val="0"/>
                    <w:color w:val="auto"/>
                    <w:kern w:val="2"/>
                    <w:sz w:val="28"/>
                    <w:szCs w:val="28"/>
                    <w:lang w:val="en-US" w:eastAsia="zh-CN" w:bidi="ar-SA"/>
                  </w:rPr>
                </m:ctrlPr>
              </m:sub>
            </m:sSub>
            <m:r>
              <m:rPr>
                <m:sty m:val="p"/>
              </m:rPr>
              <w:rPr>
                <w:rFonts w:hint="default" w:ascii="Cambria Math" w:hAnsi="Cambria Math" w:cs="Times New Roman"/>
                <w:color w:val="auto"/>
                <w:kern w:val="2"/>
                <w:sz w:val="28"/>
                <w:szCs w:val="28"/>
                <w:lang w:val="en-US" w:eastAsia="zh-CN" w:bidi="ar-SA"/>
              </w:rPr>
              <m:t>+</m:t>
            </m:r>
            <m:sSub>
              <m:sSubPr>
                <m:ctrlPr>
                  <w:rPr>
                    <w:rFonts w:hint="default" w:ascii="Cambria Math" w:hAnsi="Cambria Math" w:cs="Times New Roman"/>
                    <w:color w:val="auto"/>
                    <w:kern w:val="2"/>
                    <w:sz w:val="28"/>
                    <w:szCs w:val="28"/>
                    <w:lang w:val="en-US" w:eastAsia="zh-CN" w:bidi="ar-SA"/>
                  </w:rPr>
                </m:ctrlPr>
              </m:sSubPr>
              <m:e>
                <m:r>
                  <m:rPr>
                    <m:sty m:val="p"/>
                  </m:rPr>
                  <w:rPr>
                    <w:rFonts w:hint="default" w:ascii="Cambria Math" w:hAnsi="Cambria Math" w:cs="Times New Roman"/>
                    <w:color w:val="auto"/>
                    <w:kern w:val="2"/>
                    <w:sz w:val="28"/>
                    <w:szCs w:val="28"/>
                    <w:lang w:val="en-US" w:eastAsia="zh-CN" w:bidi="ar-SA"/>
                  </w:rPr>
                  <m:t>m</m:t>
                </m:r>
                <m:ctrlPr>
                  <w:rPr>
                    <w:rFonts w:hint="default" w:ascii="Cambria Math" w:hAnsi="Cambria Math" w:cs="Times New Roman"/>
                    <w:color w:val="auto"/>
                    <w:kern w:val="2"/>
                    <w:sz w:val="28"/>
                    <w:szCs w:val="28"/>
                    <w:lang w:val="en-US" w:eastAsia="zh-CN" w:bidi="ar-SA"/>
                  </w:rPr>
                </m:ctrlPr>
              </m:e>
              <m:sub>
                <m:r>
                  <m:rPr>
                    <m:sty m:val="p"/>
                  </m:rPr>
                  <w:rPr>
                    <w:rFonts w:hint="default" w:ascii="Cambria Math" w:hAnsi="Cambria Math" w:cs="Times New Roman"/>
                    <w:color w:val="auto"/>
                    <w:kern w:val="2"/>
                    <w:sz w:val="28"/>
                    <w:szCs w:val="28"/>
                    <w:lang w:val="en-US" w:eastAsia="zh-CN" w:bidi="ar-SA"/>
                  </w:rPr>
                  <m:t>2</m:t>
                </m:r>
                <m:ctrlPr>
                  <w:rPr>
                    <w:rFonts w:hint="default" w:ascii="Cambria Math" w:hAnsi="Cambria Math" w:cs="Times New Roman"/>
                    <w:color w:val="auto"/>
                    <w:kern w:val="2"/>
                    <w:sz w:val="28"/>
                    <w:szCs w:val="28"/>
                    <w:lang w:val="en-US" w:eastAsia="zh-CN" w:bidi="ar-SA"/>
                  </w:rPr>
                </m:ctrlPr>
              </m:sub>
            </m:sSub>
            <m:ctrlPr>
              <w:rPr>
                <w:rFonts w:hint="default" w:ascii="Cambria Math" w:hAnsi="Cambria Math" w:cs="Times New Roman"/>
                <w:color w:val="auto"/>
                <w:kern w:val="2"/>
                <w:sz w:val="28"/>
                <w:szCs w:val="28"/>
                <w:lang w:val="en-US" w:eastAsia="zh-CN" w:bidi="ar-SA"/>
              </w:rPr>
            </m:ctrlPr>
          </m:den>
        </m:f>
        <m:r>
          <m:rPr>
            <m:sty m:val="p"/>
          </m:rPr>
          <w:rPr>
            <w:rFonts w:ascii="Cambria Math" w:hAnsi="Cambria Math" w:cs="Times New Roman"/>
            <w:color w:val="auto"/>
            <w:kern w:val="2"/>
            <w:sz w:val="28"/>
            <w:szCs w:val="28"/>
            <w:lang w:val="en-US" w:bidi="ar-SA"/>
          </w:rPr>
          <m:t>×</m:t>
        </m:r>
        <m:r>
          <m:rPr>
            <m:sty m:val="p"/>
          </m:rPr>
          <w:rPr>
            <w:rFonts w:hint="default" w:ascii="Cambria Math" w:hAnsi="Cambria Math" w:cs="Times New Roman"/>
            <w:color w:val="auto"/>
            <w:kern w:val="2"/>
            <w:sz w:val="28"/>
            <w:szCs w:val="28"/>
            <w:lang w:val="en-US" w:eastAsia="zh-CN" w:bidi="ar-SA"/>
          </w:rPr>
          <m:t>100%</m:t>
        </m:r>
      </m:oMath>
      <w:r>
        <w:rPr>
          <w:rFonts w:hint="eastAsia" w:hAnsi="Cambria Math" w:cs="Times New Roman"/>
          <w:i w:val="0"/>
          <w:color w:val="auto"/>
          <w:kern w:val="2"/>
          <w:sz w:val="28"/>
          <w:szCs w:val="28"/>
          <w:lang w:val="en-US" w:eastAsia="zh-CN" w:bidi="ar-SA"/>
        </w:rPr>
        <w:t xml:space="preserve">                                      （4）</w:t>
      </w:r>
    </w:p>
    <w:p w14:paraId="46ABDA9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eastAsia="仿宋"/>
          <w:color w:val="auto"/>
          <w:sz w:val="28"/>
          <w:szCs w:val="28"/>
          <w:lang w:val="en-US" w:eastAsia="zh-CN"/>
        </w:rPr>
      </w:pPr>
      <w:r>
        <w:rPr>
          <w:rFonts w:hint="eastAsia" w:eastAsia="仿宋"/>
          <w:color w:val="auto"/>
          <w:sz w:val="28"/>
          <w:szCs w:val="28"/>
          <w:lang w:val="en-US" w:eastAsia="zh-CN"/>
        </w:rPr>
        <w:t>式中：</w:t>
      </w:r>
    </w:p>
    <w:p w14:paraId="384FBBB4">
      <w:pPr>
        <w:spacing w:line="460" w:lineRule="exact"/>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K：第一个空气收集器的平均采样效率，%；</w:t>
      </w:r>
    </w:p>
    <w:p w14:paraId="4A07D5DA">
      <w:pPr>
        <w:spacing w:line="460" w:lineRule="exact"/>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m</w:t>
      </w:r>
      <w:r>
        <w:rPr>
          <w:rFonts w:hint="default" w:ascii="Times New Roman" w:hAnsi="Times New Roman" w:eastAsia="仿宋" w:cs="Times New Roman"/>
          <w:color w:val="auto"/>
          <w:sz w:val="28"/>
          <w:szCs w:val="28"/>
          <w:vertAlign w:val="subscript"/>
          <w:lang w:val="en-US" w:eastAsia="zh-CN"/>
        </w:rPr>
        <w:t>1</w:t>
      </w:r>
      <w:r>
        <w:rPr>
          <w:rFonts w:hint="default" w:ascii="Times New Roman" w:hAnsi="Times New Roman" w:eastAsia="仿宋" w:cs="Times New Roman"/>
          <w:color w:val="auto"/>
          <w:sz w:val="28"/>
          <w:szCs w:val="28"/>
          <w:lang w:val="en-US" w:eastAsia="zh-CN"/>
        </w:rPr>
        <w:t>：第一个空气收集器测得的平均待测物量，单位为微克（μg）；</w:t>
      </w:r>
    </w:p>
    <w:p w14:paraId="72572859">
      <w:pPr>
        <w:spacing w:line="460" w:lineRule="exact"/>
        <w:ind w:firstLine="560" w:firstLineChars="200"/>
        <w:rPr>
          <w:rFonts w:hint="default" w:ascii="Times New Roman" w:hAnsi="Times New Roman" w:eastAsia="仿宋" w:cs="Times New Roman"/>
          <w:color w:val="auto"/>
          <w:sz w:val="28"/>
          <w:szCs w:val="28"/>
          <w:lang w:val="en-US" w:eastAsia="zh-CN"/>
        </w:rPr>
      </w:pPr>
      <w:r>
        <w:rPr>
          <w:rFonts w:hint="default" w:ascii="Times New Roman" w:hAnsi="Times New Roman" w:eastAsia="仿宋" w:cs="Times New Roman"/>
          <w:color w:val="auto"/>
          <w:sz w:val="28"/>
          <w:szCs w:val="28"/>
          <w:lang w:val="en-US" w:eastAsia="zh-CN"/>
        </w:rPr>
        <w:t>m</w:t>
      </w:r>
      <w:r>
        <w:rPr>
          <w:rFonts w:hint="default" w:ascii="Times New Roman" w:hAnsi="Times New Roman" w:eastAsia="仿宋" w:cs="Times New Roman"/>
          <w:color w:val="auto"/>
          <w:sz w:val="28"/>
          <w:szCs w:val="28"/>
          <w:vertAlign w:val="subscript"/>
          <w:lang w:val="en-US" w:eastAsia="zh-CN"/>
        </w:rPr>
        <w:t>2</w:t>
      </w:r>
      <w:r>
        <w:rPr>
          <w:rFonts w:hint="default" w:ascii="Times New Roman" w:hAnsi="Times New Roman" w:eastAsia="仿宋" w:cs="Times New Roman"/>
          <w:color w:val="auto"/>
          <w:sz w:val="28"/>
          <w:szCs w:val="28"/>
          <w:lang w:val="en-US" w:eastAsia="zh-CN"/>
        </w:rPr>
        <w:t>：第二个空气收集器测得的平均待测物量，单位为微克（μg）。</w:t>
      </w:r>
    </w:p>
    <w:p w14:paraId="11496BE6">
      <w:pPr>
        <w:spacing w:line="460" w:lineRule="exact"/>
        <w:ind w:firstLine="560" w:firstLineChars="200"/>
        <w:rPr>
          <w:rFonts w:eastAsia="仿宋"/>
          <w:color w:val="auto"/>
          <w:sz w:val="28"/>
          <w:szCs w:val="28"/>
        </w:rPr>
      </w:pPr>
      <w:r>
        <w:rPr>
          <w:rFonts w:eastAsia="仿宋"/>
          <w:color w:val="auto"/>
          <w:sz w:val="28"/>
          <w:szCs w:val="28"/>
        </w:rPr>
        <w:t>结果显示，本方法后段玻璃纤维</w:t>
      </w:r>
      <w:r>
        <w:rPr>
          <w:rFonts w:hint="eastAsia" w:eastAsia="仿宋"/>
          <w:color w:val="auto"/>
          <w:sz w:val="28"/>
          <w:szCs w:val="28"/>
        </w:rPr>
        <w:t>纸</w:t>
      </w:r>
      <w:r>
        <w:rPr>
          <w:rFonts w:eastAsia="仿宋"/>
          <w:color w:val="auto"/>
          <w:sz w:val="28"/>
          <w:szCs w:val="28"/>
        </w:rPr>
        <w:t>均未检出草铵膦。实验结果</w:t>
      </w:r>
      <w:r>
        <w:rPr>
          <w:rFonts w:hint="eastAsia" w:eastAsia="仿宋"/>
          <w:color w:val="auto"/>
          <w:sz w:val="28"/>
          <w:szCs w:val="28"/>
        </w:rPr>
        <w:t>GBZ/T 210.4-2008《职业卫生标准制定指南 第4部分：工作场所空气中化学物质测定方法》</w:t>
      </w:r>
      <w:r>
        <w:rPr>
          <w:rFonts w:hint="eastAsia" w:eastAsia="仿宋"/>
          <w:color w:val="auto"/>
          <w:sz w:val="28"/>
          <w:szCs w:val="28"/>
          <w:lang w:val="en-US" w:eastAsia="zh-CN"/>
        </w:rPr>
        <w:t>的要求。</w:t>
      </w:r>
      <w:r>
        <w:rPr>
          <w:rFonts w:eastAsia="仿宋"/>
          <w:color w:val="auto"/>
          <w:sz w:val="28"/>
          <w:szCs w:val="28"/>
        </w:rPr>
        <w:t>见表</w:t>
      </w:r>
      <w:r>
        <w:rPr>
          <w:rFonts w:hint="eastAsia" w:eastAsia="仿宋"/>
          <w:color w:val="auto"/>
          <w:sz w:val="28"/>
          <w:szCs w:val="28"/>
          <w:lang w:val="en-US" w:eastAsia="zh-CN"/>
        </w:rPr>
        <w:t>9</w:t>
      </w:r>
      <w:r>
        <w:rPr>
          <w:rFonts w:eastAsia="仿宋"/>
          <w:color w:val="auto"/>
          <w:sz w:val="28"/>
          <w:szCs w:val="28"/>
        </w:rPr>
        <w:t>。</w:t>
      </w:r>
    </w:p>
    <w:p w14:paraId="40961E3C">
      <w:pPr>
        <w:ind w:firstLine="420" w:firstLineChars="200"/>
        <w:jc w:val="center"/>
        <w:rPr>
          <w:rFonts w:eastAsia="仿宋"/>
          <w:color w:val="auto"/>
          <w:szCs w:val="21"/>
        </w:rPr>
      </w:pPr>
      <w:r>
        <w:rPr>
          <w:rFonts w:eastAsia="仿宋"/>
          <w:color w:val="auto"/>
          <w:szCs w:val="21"/>
        </w:rPr>
        <w:t>表</w:t>
      </w:r>
      <w:r>
        <w:rPr>
          <w:rFonts w:hint="eastAsia" w:eastAsia="仿宋"/>
          <w:color w:val="auto"/>
          <w:szCs w:val="21"/>
          <w:lang w:val="en-US" w:eastAsia="zh-CN"/>
        </w:rPr>
        <w:t xml:space="preserve">9  </w:t>
      </w:r>
      <w:r>
        <w:rPr>
          <w:rFonts w:eastAsia="仿宋"/>
          <w:color w:val="auto"/>
          <w:szCs w:val="21"/>
        </w:rPr>
        <w:t>滤膜采样效率</w:t>
      </w:r>
    </w:p>
    <w:tbl>
      <w:tblPr>
        <w:tblStyle w:val="22"/>
        <w:tblpPr w:leftFromText="180" w:rightFromText="180" w:vertAnchor="text" w:horzAnchor="page" w:tblpXSpec="center" w:tblpY="32"/>
        <w:tblOverlap w:val="never"/>
        <w:tblW w:w="8048"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56"/>
        <w:gridCol w:w="1256"/>
        <w:gridCol w:w="1335"/>
        <w:gridCol w:w="1505"/>
        <w:gridCol w:w="1440"/>
        <w:gridCol w:w="1256"/>
      </w:tblGrid>
      <w:tr w14:paraId="761DF3C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tcBorders>
              <w:bottom w:val="single" w:color="auto" w:sz="12" w:space="0"/>
            </w:tcBorders>
            <w:vAlign w:val="center"/>
          </w:tcPr>
          <w:p w14:paraId="3327F67D">
            <w:pPr>
              <w:spacing w:line="360" w:lineRule="auto"/>
              <w:jc w:val="center"/>
              <w:rPr>
                <w:rFonts w:eastAsia="仿宋"/>
                <w:color w:val="auto"/>
                <w:szCs w:val="21"/>
              </w:rPr>
            </w:pPr>
            <w:r>
              <w:rPr>
                <w:rFonts w:eastAsia="仿宋"/>
                <w:color w:val="auto"/>
                <w:szCs w:val="21"/>
              </w:rPr>
              <w:t>采样浓度（mg/m</w:t>
            </w:r>
            <w:r>
              <w:rPr>
                <w:rFonts w:eastAsia="仿宋"/>
                <w:color w:val="auto"/>
                <w:szCs w:val="21"/>
                <w:vertAlign w:val="superscript"/>
              </w:rPr>
              <w:t>3</w:t>
            </w:r>
            <w:r>
              <w:rPr>
                <w:rFonts w:eastAsia="仿宋"/>
                <w:color w:val="auto"/>
                <w:szCs w:val="21"/>
              </w:rPr>
              <w:t>）</w:t>
            </w:r>
          </w:p>
        </w:tc>
        <w:tc>
          <w:tcPr>
            <w:tcW w:w="1256" w:type="dxa"/>
            <w:tcBorders>
              <w:bottom w:val="single" w:color="auto" w:sz="12" w:space="0"/>
            </w:tcBorders>
            <w:vAlign w:val="center"/>
          </w:tcPr>
          <w:p w14:paraId="65625A87">
            <w:pPr>
              <w:spacing w:line="360" w:lineRule="auto"/>
              <w:jc w:val="center"/>
              <w:rPr>
                <w:rFonts w:eastAsia="仿宋"/>
                <w:color w:val="auto"/>
                <w:szCs w:val="21"/>
              </w:rPr>
            </w:pPr>
            <w:r>
              <w:rPr>
                <w:rFonts w:eastAsia="仿宋"/>
                <w:color w:val="auto"/>
                <w:szCs w:val="21"/>
              </w:rPr>
              <w:t>采样流量（L/min）</w:t>
            </w:r>
          </w:p>
        </w:tc>
        <w:tc>
          <w:tcPr>
            <w:tcW w:w="1335" w:type="dxa"/>
            <w:tcBorders>
              <w:bottom w:val="single" w:color="auto" w:sz="12" w:space="0"/>
            </w:tcBorders>
            <w:vAlign w:val="center"/>
          </w:tcPr>
          <w:p w14:paraId="61A08096">
            <w:pPr>
              <w:spacing w:line="360" w:lineRule="auto"/>
              <w:jc w:val="center"/>
              <w:rPr>
                <w:rFonts w:eastAsia="仿宋"/>
                <w:color w:val="auto"/>
                <w:szCs w:val="21"/>
              </w:rPr>
            </w:pPr>
            <w:r>
              <w:rPr>
                <w:rFonts w:eastAsia="仿宋"/>
                <w:color w:val="auto"/>
                <w:szCs w:val="21"/>
              </w:rPr>
              <w:t>采样时间（min）</w:t>
            </w:r>
          </w:p>
        </w:tc>
        <w:tc>
          <w:tcPr>
            <w:tcW w:w="1505" w:type="dxa"/>
            <w:tcBorders>
              <w:bottom w:val="single" w:color="auto" w:sz="12" w:space="0"/>
            </w:tcBorders>
            <w:vAlign w:val="center"/>
          </w:tcPr>
          <w:p w14:paraId="4FF195B8">
            <w:pPr>
              <w:spacing w:line="360" w:lineRule="auto"/>
              <w:jc w:val="center"/>
              <w:rPr>
                <w:rFonts w:eastAsia="仿宋"/>
                <w:color w:val="auto"/>
                <w:szCs w:val="21"/>
              </w:rPr>
            </w:pPr>
            <w:r>
              <w:rPr>
                <w:rFonts w:eastAsia="仿宋"/>
                <w:color w:val="auto"/>
                <w:szCs w:val="21"/>
              </w:rPr>
              <w:t>前段测定值（μg）</w:t>
            </w:r>
          </w:p>
        </w:tc>
        <w:tc>
          <w:tcPr>
            <w:tcW w:w="1440" w:type="dxa"/>
            <w:tcBorders>
              <w:bottom w:val="single" w:color="auto" w:sz="12" w:space="0"/>
            </w:tcBorders>
            <w:vAlign w:val="center"/>
          </w:tcPr>
          <w:p w14:paraId="3CF81DE7">
            <w:pPr>
              <w:spacing w:line="360" w:lineRule="auto"/>
              <w:jc w:val="center"/>
              <w:rPr>
                <w:rFonts w:eastAsia="仿宋"/>
                <w:color w:val="auto"/>
                <w:szCs w:val="21"/>
              </w:rPr>
            </w:pPr>
            <w:r>
              <w:rPr>
                <w:rFonts w:eastAsia="仿宋"/>
                <w:color w:val="auto"/>
                <w:szCs w:val="21"/>
              </w:rPr>
              <w:t>后段测定值（μg）</w:t>
            </w:r>
          </w:p>
        </w:tc>
        <w:tc>
          <w:tcPr>
            <w:tcW w:w="1256" w:type="dxa"/>
            <w:tcBorders>
              <w:bottom w:val="single" w:color="auto" w:sz="12" w:space="0"/>
            </w:tcBorders>
            <w:vAlign w:val="center"/>
          </w:tcPr>
          <w:p w14:paraId="3E4CECBB">
            <w:pPr>
              <w:spacing w:line="360" w:lineRule="auto"/>
              <w:jc w:val="center"/>
              <w:rPr>
                <w:rFonts w:eastAsia="仿宋"/>
                <w:color w:val="auto"/>
                <w:szCs w:val="21"/>
              </w:rPr>
            </w:pPr>
            <w:r>
              <w:rPr>
                <w:rFonts w:eastAsia="仿宋"/>
                <w:color w:val="auto"/>
                <w:szCs w:val="21"/>
              </w:rPr>
              <w:t>采样效率（%）</w:t>
            </w:r>
          </w:p>
        </w:tc>
      </w:tr>
      <w:tr w14:paraId="4729039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restart"/>
            <w:tcBorders>
              <w:top w:val="single" w:color="auto" w:sz="12" w:space="0"/>
              <w:tl2br w:val="nil"/>
              <w:tr2bl w:val="nil"/>
            </w:tcBorders>
            <w:vAlign w:val="center"/>
          </w:tcPr>
          <w:p w14:paraId="5F65AFA2">
            <w:pPr>
              <w:spacing w:line="360" w:lineRule="auto"/>
              <w:jc w:val="center"/>
              <w:rPr>
                <w:rFonts w:eastAsia="仿宋"/>
                <w:color w:val="auto"/>
                <w:szCs w:val="21"/>
              </w:rPr>
            </w:pPr>
            <w:r>
              <w:rPr>
                <w:rFonts w:eastAsia="仿宋"/>
                <w:color w:val="auto"/>
                <w:szCs w:val="21"/>
              </w:rPr>
              <w:t>0.052</w:t>
            </w:r>
          </w:p>
        </w:tc>
        <w:tc>
          <w:tcPr>
            <w:tcW w:w="1256" w:type="dxa"/>
            <w:vMerge w:val="restart"/>
            <w:tcBorders>
              <w:top w:val="single" w:color="auto" w:sz="12" w:space="0"/>
              <w:tl2br w:val="nil"/>
              <w:tr2bl w:val="nil"/>
            </w:tcBorders>
            <w:vAlign w:val="center"/>
          </w:tcPr>
          <w:p w14:paraId="212D6745">
            <w:pPr>
              <w:spacing w:line="360" w:lineRule="auto"/>
              <w:jc w:val="center"/>
              <w:rPr>
                <w:rFonts w:hint="eastAsia" w:eastAsia="仿宋"/>
                <w:color w:val="auto"/>
                <w:szCs w:val="21"/>
                <w:lang w:eastAsia="zh-CN"/>
              </w:rPr>
            </w:pPr>
            <w:r>
              <w:rPr>
                <w:rFonts w:hint="eastAsia" w:eastAsia="仿宋"/>
                <w:color w:val="auto"/>
                <w:szCs w:val="21"/>
                <w:lang w:val="en-US" w:eastAsia="zh-CN"/>
              </w:rPr>
              <w:t>2</w:t>
            </w:r>
          </w:p>
        </w:tc>
        <w:tc>
          <w:tcPr>
            <w:tcW w:w="1335" w:type="dxa"/>
            <w:vMerge w:val="restart"/>
            <w:tcBorders>
              <w:top w:val="single" w:color="auto" w:sz="12" w:space="0"/>
              <w:tl2br w:val="nil"/>
              <w:tr2bl w:val="nil"/>
            </w:tcBorders>
            <w:vAlign w:val="center"/>
          </w:tcPr>
          <w:p w14:paraId="2DFC40A3">
            <w:pPr>
              <w:spacing w:line="360" w:lineRule="auto"/>
              <w:jc w:val="center"/>
              <w:rPr>
                <w:rFonts w:eastAsia="仿宋"/>
                <w:color w:val="auto"/>
                <w:szCs w:val="21"/>
              </w:rPr>
            </w:pPr>
            <w:r>
              <w:rPr>
                <w:rFonts w:eastAsia="仿宋"/>
                <w:color w:val="auto"/>
                <w:szCs w:val="21"/>
              </w:rPr>
              <w:t>15</w:t>
            </w:r>
          </w:p>
        </w:tc>
        <w:tc>
          <w:tcPr>
            <w:tcW w:w="1505" w:type="dxa"/>
            <w:tcBorders>
              <w:top w:val="single" w:color="auto" w:sz="12" w:space="0"/>
              <w:tl2br w:val="nil"/>
              <w:tr2bl w:val="nil"/>
            </w:tcBorders>
            <w:vAlign w:val="center"/>
          </w:tcPr>
          <w:p w14:paraId="1BDE0B93">
            <w:pPr>
              <w:spacing w:line="360" w:lineRule="auto"/>
              <w:jc w:val="center"/>
              <w:rPr>
                <w:rFonts w:eastAsia="仿宋"/>
                <w:color w:val="auto"/>
                <w:szCs w:val="21"/>
              </w:rPr>
            </w:pPr>
            <w:r>
              <w:rPr>
                <w:rFonts w:eastAsia="仿宋"/>
                <w:color w:val="auto"/>
                <w:szCs w:val="21"/>
              </w:rPr>
              <w:t>0.148</w:t>
            </w:r>
          </w:p>
        </w:tc>
        <w:tc>
          <w:tcPr>
            <w:tcW w:w="1440" w:type="dxa"/>
            <w:tcBorders>
              <w:top w:val="single" w:color="auto" w:sz="12" w:space="0"/>
              <w:tl2br w:val="nil"/>
              <w:tr2bl w:val="nil"/>
            </w:tcBorders>
            <w:vAlign w:val="center"/>
          </w:tcPr>
          <w:p w14:paraId="1B6253E2">
            <w:pPr>
              <w:spacing w:line="360" w:lineRule="auto"/>
              <w:jc w:val="center"/>
              <w:rPr>
                <w:rFonts w:eastAsia="仿宋"/>
                <w:color w:val="auto"/>
                <w:szCs w:val="21"/>
              </w:rPr>
            </w:pPr>
            <w:r>
              <w:rPr>
                <w:rFonts w:eastAsia="仿宋"/>
                <w:color w:val="auto"/>
                <w:szCs w:val="21"/>
              </w:rPr>
              <w:t>0</w:t>
            </w:r>
          </w:p>
        </w:tc>
        <w:tc>
          <w:tcPr>
            <w:tcW w:w="1256" w:type="dxa"/>
            <w:tcBorders>
              <w:top w:val="single" w:color="auto" w:sz="12" w:space="0"/>
              <w:tl2br w:val="nil"/>
              <w:tr2bl w:val="nil"/>
            </w:tcBorders>
            <w:vAlign w:val="center"/>
          </w:tcPr>
          <w:p w14:paraId="42BB28F6">
            <w:pPr>
              <w:spacing w:line="360" w:lineRule="auto"/>
              <w:jc w:val="center"/>
              <w:rPr>
                <w:rFonts w:eastAsia="仿宋"/>
                <w:color w:val="auto"/>
                <w:szCs w:val="21"/>
              </w:rPr>
            </w:pPr>
            <w:r>
              <w:rPr>
                <w:rFonts w:eastAsia="仿宋"/>
                <w:color w:val="auto"/>
                <w:szCs w:val="21"/>
              </w:rPr>
              <w:t>100</w:t>
            </w:r>
          </w:p>
        </w:tc>
      </w:tr>
      <w:tr w14:paraId="3B86AA0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continue"/>
            <w:tcBorders>
              <w:tl2br w:val="nil"/>
              <w:tr2bl w:val="nil"/>
            </w:tcBorders>
            <w:vAlign w:val="center"/>
          </w:tcPr>
          <w:p w14:paraId="0ADFA168">
            <w:pPr>
              <w:spacing w:line="360" w:lineRule="auto"/>
              <w:jc w:val="center"/>
              <w:rPr>
                <w:rFonts w:eastAsia="仿宋"/>
                <w:color w:val="auto"/>
                <w:szCs w:val="21"/>
              </w:rPr>
            </w:pPr>
          </w:p>
        </w:tc>
        <w:tc>
          <w:tcPr>
            <w:tcW w:w="1256" w:type="dxa"/>
            <w:vMerge w:val="continue"/>
            <w:tcBorders>
              <w:tl2br w:val="nil"/>
              <w:tr2bl w:val="nil"/>
            </w:tcBorders>
            <w:vAlign w:val="center"/>
          </w:tcPr>
          <w:p w14:paraId="02E2BECD">
            <w:pPr>
              <w:spacing w:line="360" w:lineRule="auto"/>
              <w:jc w:val="center"/>
              <w:rPr>
                <w:rFonts w:eastAsia="仿宋"/>
                <w:color w:val="auto"/>
                <w:szCs w:val="21"/>
              </w:rPr>
            </w:pPr>
          </w:p>
        </w:tc>
        <w:tc>
          <w:tcPr>
            <w:tcW w:w="1335" w:type="dxa"/>
            <w:vMerge w:val="continue"/>
            <w:tcBorders>
              <w:tl2br w:val="nil"/>
              <w:tr2bl w:val="nil"/>
            </w:tcBorders>
            <w:vAlign w:val="center"/>
          </w:tcPr>
          <w:p w14:paraId="4AE59BCA">
            <w:pPr>
              <w:spacing w:line="360" w:lineRule="auto"/>
              <w:jc w:val="center"/>
              <w:rPr>
                <w:rFonts w:eastAsia="仿宋"/>
                <w:color w:val="auto"/>
                <w:szCs w:val="21"/>
              </w:rPr>
            </w:pPr>
          </w:p>
        </w:tc>
        <w:tc>
          <w:tcPr>
            <w:tcW w:w="1505" w:type="dxa"/>
            <w:tcBorders>
              <w:tl2br w:val="nil"/>
              <w:tr2bl w:val="nil"/>
            </w:tcBorders>
            <w:vAlign w:val="center"/>
          </w:tcPr>
          <w:p w14:paraId="7EEEBFA2">
            <w:pPr>
              <w:spacing w:line="360" w:lineRule="auto"/>
              <w:jc w:val="center"/>
              <w:rPr>
                <w:rFonts w:eastAsia="仿宋"/>
                <w:color w:val="auto"/>
                <w:szCs w:val="21"/>
              </w:rPr>
            </w:pPr>
            <w:r>
              <w:rPr>
                <w:rFonts w:eastAsia="仿宋"/>
                <w:color w:val="auto"/>
                <w:szCs w:val="21"/>
              </w:rPr>
              <w:t>0.143</w:t>
            </w:r>
          </w:p>
        </w:tc>
        <w:tc>
          <w:tcPr>
            <w:tcW w:w="1440" w:type="dxa"/>
            <w:tcBorders>
              <w:tl2br w:val="nil"/>
              <w:tr2bl w:val="nil"/>
            </w:tcBorders>
            <w:vAlign w:val="center"/>
          </w:tcPr>
          <w:p w14:paraId="4B584152">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4CB21EED">
            <w:pPr>
              <w:spacing w:line="360" w:lineRule="auto"/>
              <w:jc w:val="center"/>
              <w:rPr>
                <w:rFonts w:eastAsia="仿宋"/>
                <w:color w:val="auto"/>
                <w:szCs w:val="21"/>
              </w:rPr>
            </w:pPr>
            <w:r>
              <w:rPr>
                <w:rFonts w:eastAsia="仿宋"/>
                <w:color w:val="auto"/>
                <w:szCs w:val="21"/>
              </w:rPr>
              <w:t>100</w:t>
            </w:r>
          </w:p>
        </w:tc>
      </w:tr>
      <w:tr w14:paraId="2AEF3D9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continue"/>
            <w:tcBorders>
              <w:tl2br w:val="nil"/>
              <w:tr2bl w:val="nil"/>
            </w:tcBorders>
            <w:vAlign w:val="center"/>
          </w:tcPr>
          <w:p w14:paraId="359240C8">
            <w:pPr>
              <w:spacing w:line="360" w:lineRule="auto"/>
              <w:jc w:val="center"/>
              <w:rPr>
                <w:rFonts w:eastAsia="仿宋"/>
                <w:color w:val="auto"/>
                <w:szCs w:val="21"/>
              </w:rPr>
            </w:pPr>
          </w:p>
        </w:tc>
        <w:tc>
          <w:tcPr>
            <w:tcW w:w="1256" w:type="dxa"/>
            <w:vMerge w:val="continue"/>
            <w:tcBorders>
              <w:tl2br w:val="nil"/>
              <w:tr2bl w:val="nil"/>
            </w:tcBorders>
            <w:vAlign w:val="center"/>
          </w:tcPr>
          <w:p w14:paraId="2B3C7872">
            <w:pPr>
              <w:spacing w:line="360" w:lineRule="auto"/>
              <w:jc w:val="center"/>
              <w:rPr>
                <w:rFonts w:eastAsia="仿宋"/>
                <w:color w:val="auto"/>
                <w:szCs w:val="21"/>
              </w:rPr>
            </w:pPr>
          </w:p>
        </w:tc>
        <w:tc>
          <w:tcPr>
            <w:tcW w:w="1335" w:type="dxa"/>
            <w:vMerge w:val="continue"/>
            <w:tcBorders>
              <w:tl2br w:val="nil"/>
              <w:tr2bl w:val="nil"/>
            </w:tcBorders>
            <w:vAlign w:val="center"/>
          </w:tcPr>
          <w:p w14:paraId="776FA794">
            <w:pPr>
              <w:spacing w:line="360" w:lineRule="auto"/>
              <w:jc w:val="center"/>
              <w:rPr>
                <w:rFonts w:eastAsia="仿宋"/>
                <w:color w:val="auto"/>
                <w:szCs w:val="21"/>
              </w:rPr>
            </w:pPr>
          </w:p>
        </w:tc>
        <w:tc>
          <w:tcPr>
            <w:tcW w:w="1505" w:type="dxa"/>
            <w:tcBorders>
              <w:tl2br w:val="nil"/>
              <w:tr2bl w:val="nil"/>
            </w:tcBorders>
            <w:vAlign w:val="center"/>
          </w:tcPr>
          <w:p w14:paraId="262A803D">
            <w:pPr>
              <w:spacing w:line="360" w:lineRule="auto"/>
              <w:jc w:val="center"/>
              <w:rPr>
                <w:rFonts w:eastAsia="仿宋"/>
                <w:color w:val="auto"/>
                <w:szCs w:val="21"/>
              </w:rPr>
            </w:pPr>
            <w:r>
              <w:rPr>
                <w:rFonts w:eastAsia="仿宋"/>
                <w:color w:val="auto"/>
                <w:szCs w:val="21"/>
              </w:rPr>
              <w:t>0.149</w:t>
            </w:r>
          </w:p>
        </w:tc>
        <w:tc>
          <w:tcPr>
            <w:tcW w:w="1440" w:type="dxa"/>
            <w:tcBorders>
              <w:tl2br w:val="nil"/>
              <w:tr2bl w:val="nil"/>
            </w:tcBorders>
            <w:vAlign w:val="center"/>
          </w:tcPr>
          <w:p w14:paraId="5CAB92A4">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3595876D">
            <w:pPr>
              <w:spacing w:line="360" w:lineRule="auto"/>
              <w:jc w:val="center"/>
              <w:rPr>
                <w:rFonts w:eastAsia="仿宋"/>
                <w:color w:val="auto"/>
                <w:szCs w:val="21"/>
              </w:rPr>
            </w:pPr>
            <w:r>
              <w:rPr>
                <w:rFonts w:eastAsia="仿宋"/>
                <w:color w:val="auto"/>
                <w:szCs w:val="21"/>
              </w:rPr>
              <w:t>100</w:t>
            </w:r>
          </w:p>
        </w:tc>
      </w:tr>
      <w:tr w14:paraId="6F4AF8A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restart"/>
            <w:tcBorders>
              <w:tl2br w:val="nil"/>
              <w:tr2bl w:val="nil"/>
            </w:tcBorders>
            <w:vAlign w:val="center"/>
          </w:tcPr>
          <w:p w14:paraId="2D14C9D2">
            <w:pPr>
              <w:spacing w:line="360" w:lineRule="auto"/>
              <w:jc w:val="center"/>
              <w:rPr>
                <w:rFonts w:eastAsia="仿宋"/>
                <w:color w:val="auto"/>
                <w:szCs w:val="21"/>
              </w:rPr>
            </w:pPr>
            <w:r>
              <w:rPr>
                <w:rFonts w:eastAsia="仿宋"/>
                <w:color w:val="auto"/>
                <w:szCs w:val="21"/>
              </w:rPr>
              <w:t>0.17</w:t>
            </w:r>
          </w:p>
        </w:tc>
        <w:tc>
          <w:tcPr>
            <w:tcW w:w="1256" w:type="dxa"/>
            <w:vMerge w:val="continue"/>
            <w:tcBorders>
              <w:tl2br w:val="nil"/>
              <w:tr2bl w:val="nil"/>
            </w:tcBorders>
            <w:vAlign w:val="center"/>
          </w:tcPr>
          <w:p w14:paraId="3E125EA3">
            <w:pPr>
              <w:spacing w:line="360" w:lineRule="auto"/>
              <w:jc w:val="center"/>
              <w:rPr>
                <w:rFonts w:eastAsia="仿宋"/>
                <w:color w:val="auto"/>
                <w:szCs w:val="21"/>
              </w:rPr>
            </w:pPr>
          </w:p>
        </w:tc>
        <w:tc>
          <w:tcPr>
            <w:tcW w:w="1335" w:type="dxa"/>
            <w:vMerge w:val="continue"/>
            <w:tcBorders>
              <w:tl2br w:val="nil"/>
              <w:tr2bl w:val="nil"/>
            </w:tcBorders>
            <w:vAlign w:val="center"/>
          </w:tcPr>
          <w:p w14:paraId="3D1E927E">
            <w:pPr>
              <w:spacing w:line="360" w:lineRule="auto"/>
              <w:jc w:val="center"/>
              <w:rPr>
                <w:rFonts w:eastAsia="仿宋"/>
                <w:color w:val="auto"/>
                <w:szCs w:val="21"/>
              </w:rPr>
            </w:pPr>
          </w:p>
        </w:tc>
        <w:tc>
          <w:tcPr>
            <w:tcW w:w="1505" w:type="dxa"/>
            <w:tcBorders>
              <w:tl2br w:val="nil"/>
              <w:tr2bl w:val="nil"/>
            </w:tcBorders>
            <w:vAlign w:val="center"/>
          </w:tcPr>
          <w:p w14:paraId="51C1811E">
            <w:pPr>
              <w:spacing w:line="360" w:lineRule="auto"/>
              <w:jc w:val="center"/>
              <w:rPr>
                <w:rFonts w:eastAsia="仿宋"/>
                <w:color w:val="auto"/>
                <w:szCs w:val="21"/>
              </w:rPr>
            </w:pPr>
            <w:r>
              <w:rPr>
                <w:rFonts w:eastAsia="仿宋"/>
                <w:color w:val="auto"/>
                <w:szCs w:val="21"/>
              </w:rPr>
              <w:t>0.482</w:t>
            </w:r>
          </w:p>
        </w:tc>
        <w:tc>
          <w:tcPr>
            <w:tcW w:w="1440" w:type="dxa"/>
            <w:tcBorders>
              <w:tl2br w:val="nil"/>
              <w:tr2bl w:val="nil"/>
            </w:tcBorders>
            <w:vAlign w:val="center"/>
          </w:tcPr>
          <w:p w14:paraId="02CB0AD6">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1E544570">
            <w:pPr>
              <w:spacing w:line="360" w:lineRule="auto"/>
              <w:jc w:val="center"/>
              <w:rPr>
                <w:rFonts w:eastAsia="仿宋"/>
                <w:color w:val="auto"/>
                <w:szCs w:val="21"/>
              </w:rPr>
            </w:pPr>
            <w:r>
              <w:rPr>
                <w:rFonts w:eastAsia="仿宋"/>
                <w:color w:val="auto"/>
                <w:szCs w:val="21"/>
              </w:rPr>
              <w:t>100</w:t>
            </w:r>
          </w:p>
        </w:tc>
      </w:tr>
      <w:tr w14:paraId="5EF6EDC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continue"/>
            <w:tcBorders>
              <w:tl2br w:val="nil"/>
              <w:tr2bl w:val="nil"/>
            </w:tcBorders>
            <w:vAlign w:val="center"/>
          </w:tcPr>
          <w:p w14:paraId="1BF99B9A">
            <w:pPr>
              <w:spacing w:line="360" w:lineRule="auto"/>
              <w:jc w:val="center"/>
              <w:rPr>
                <w:rFonts w:eastAsia="仿宋"/>
                <w:color w:val="auto"/>
                <w:szCs w:val="21"/>
              </w:rPr>
            </w:pPr>
          </w:p>
        </w:tc>
        <w:tc>
          <w:tcPr>
            <w:tcW w:w="1256" w:type="dxa"/>
            <w:vMerge w:val="continue"/>
            <w:tcBorders>
              <w:tl2br w:val="nil"/>
              <w:tr2bl w:val="nil"/>
            </w:tcBorders>
            <w:vAlign w:val="center"/>
          </w:tcPr>
          <w:p w14:paraId="18ECB404">
            <w:pPr>
              <w:spacing w:line="360" w:lineRule="auto"/>
              <w:jc w:val="center"/>
              <w:rPr>
                <w:rFonts w:eastAsia="仿宋"/>
                <w:color w:val="auto"/>
                <w:szCs w:val="21"/>
              </w:rPr>
            </w:pPr>
          </w:p>
        </w:tc>
        <w:tc>
          <w:tcPr>
            <w:tcW w:w="1335" w:type="dxa"/>
            <w:vMerge w:val="continue"/>
            <w:tcBorders>
              <w:tl2br w:val="nil"/>
              <w:tr2bl w:val="nil"/>
            </w:tcBorders>
            <w:vAlign w:val="center"/>
          </w:tcPr>
          <w:p w14:paraId="29CBF7D4">
            <w:pPr>
              <w:spacing w:line="360" w:lineRule="auto"/>
              <w:jc w:val="center"/>
              <w:rPr>
                <w:rFonts w:eastAsia="仿宋"/>
                <w:color w:val="auto"/>
                <w:szCs w:val="21"/>
              </w:rPr>
            </w:pPr>
          </w:p>
        </w:tc>
        <w:tc>
          <w:tcPr>
            <w:tcW w:w="1505" w:type="dxa"/>
            <w:tcBorders>
              <w:tl2br w:val="nil"/>
              <w:tr2bl w:val="nil"/>
            </w:tcBorders>
            <w:vAlign w:val="center"/>
          </w:tcPr>
          <w:p w14:paraId="207362A8">
            <w:pPr>
              <w:spacing w:line="360" w:lineRule="auto"/>
              <w:jc w:val="center"/>
              <w:rPr>
                <w:rFonts w:eastAsia="仿宋"/>
                <w:color w:val="auto"/>
                <w:szCs w:val="21"/>
              </w:rPr>
            </w:pPr>
            <w:r>
              <w:rPr>
                <w:rFonts w:eastAsia="仿宋"/>
                <w:color w:val="auto"/>
                <w:szCs w:val="21"/>
              </w:rPr>
              <w:t>0.479</w:t>
            </w:r>
          </w:p>
        </w:tc>
        <w:tc>
          <w:tcPr>
            <w:tcW w:w="1440" w:type="dxa"/>
            <w:tcBorders>
              <w:tl2br w:val="nil"/>
              <w:tr2bl w:val="nil"/>
            </w:tcBorders>
            <w:vAlign w:val="center"/>
          </w:tcPr>
          <w:p w14:paraId="0076616F">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2507B65F">
            <w:pPr>
              <w:spacing w:line="360" w:lineRule="auto"/>
              <w:jc w:val="center"/>
              <w:rPr>
                <w:rFonts w:eastAsia="仿宋"/>
                <w:color w:val="auto"/>
                <w:szCs w:val="21"/>
              </w:rPr>
            </w:pPr>
            <w:r>
              <w:rPr>
                <w:rFonts w:eastAsia="仿宋"/>
                <w:color w:val="auto"/>
                <w:szCs w:val="21"/>
              </w:rPr>
              <w:t>100</w:t>
            </w:r>
          </w:p>
        </w:tc>
      </w:tr>
      <w:tr w14:paraId="1E0B53E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continue"/>
            <w:tcBorders>
              <w:tl2br w:val="nil"/>
              <w:tr2bl w:val="nil"/>
            </w:tcBorders>
            <w:vAlign w:val="center"/>
          </w:tcPr>
          <w:p w14:paraId="5D5DF29F">
            <w:pPr>
              <w:spacing w:line="360" w:lineRule="auto"/>
              <w:jc w:val="center"/>
              <w:rPr>
                <w:rFonts w:eastAsia="仿宋"/>
                <w:color w:val="auto"/>
                <w:szCs w:val="21"/>
              </w:rPr>
            </w:pPr>
          </w:p>
        </w:tc>
        <w:tc>
          <w:tcPr>
            <w:tcW w:w="1256" w:type="dxa"/>
            <w:vMerge w:val="continue"/>
            <w:tcBorders>
              <w:tl2br w:val="nil"/>
              <w:tr2bl w:val="nil"/>
            </w:tcBorders>
            <w:vAlign w:val="center"/>
          </w:tcPr>
          <w:p w14:paraId="3A9B8225">
            <w:pPr>
              <w:spacing w:line="360" w:lineRule="auto"/>
              <w:jc w:val="center"/>
              <w:rPr>
                <w:rFonts w:eastAsia="仿宋"/>
                <w:color w:val="auto"/>
                <w:szCs w:val="21"/>
              </w:rPr>
            </w:pPr>
          </w:p>
        </w:tc>
        <w:tc>
          <w:tcPr>
            <w:tcW w:w="1335" w:type="dxa"/>
            <w:vMerge w:val="continue"/>
            <w:tcBorders>
              <w:tl2br w:val="nil"/>
              <w:tr2bl w:val="nil"/>
            </w:tcBorders>
            <w:vAlign w:val="center"/>
          </w:tcPr>
          <w:p w14:paraId="4FE96AFF">
            <w:pPr>
              <w:spacing w:line="360" w:lineRule="auto"/>
              <w:jc w:val="center"/>
              <w:rPr>
                <w:rFonts w:eastAsia="仿宋"/>
                <w:color w:val="auto"/>
                <w:szCs w:val="21"/>
              </w:rPr>
            </w:pPr>
          </w:p>
        </w:tc>
        <w:tc>
          <w:tcPr>
            <w:tcW w:w="1505" w:type="dxa"/>
            <w:tcBorders>
              <w:tl2br w:val="nil"/>
              <w:tr2bl w:val="nil"/>
            </w:tcBorders>
            <w:vAlign w:val="center"/>
          </w:tcPr>
          <w:p w14:paraId="30C34D91">
            <w:pPr>
              <w:spacing w:line="360" w:lineRule="auto"/>
              <w:jc w:val="center"/>
              <w:rPr>
                <w:rFonts w:eastAsia="仿宋"/>
                <w:color w:val="auto"/>
                <w:szCs w:val="21"/>
              </w:rPr>
            </w:pPr>
            <w:r>
              <w:rPr>
                <w:rFonts w:eastAsia="仿宋"/>
                <w:color w:val="auto"/>
                <w:szCs w:val="21"/>
              </w:rPr>
              <w:t>0.476</w:t>
            </w:r>
          </w:p>
        </w:tc>
        <w:tc>
          <w:tcPr>
            <w:tcW w:w="1440" w:type="dxa"/>
            <w:tcBorders>
              <w:tl2br w:val="nil"/>
              <w:tr2bl w:val="nil"/>
            </w:tcBorders>
            <w:vAlign w:val="center"/>
          </w:tcPr>
          <w:p w14:paraId="0A8201C2">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099E02B0">
            <w:pPr>
              <w:spacing w:line="360" w:lineRule="auto"/>
              <w:jc w:val="center"/>
              <w:rPr>
                <w:rFonts w:eastAsia="仿宋"/>
                <w:color w:val="auto"/>
                <w:szCs w:val="21"/>
              </w:rPr>
            </w:pPr>
            <w:r>
              <w:rPr>
                <w:rFonts w:eastAsia="仿宋"/>
                <w:color w:val="auto"/>
                <w:szCs w:val="21"/>
              </w:rPr>
              <w:t>100</w:t>
            </w:r>
          </w:p>
        </w:tc>
      </w:tr>
      <w:tr w14:paraId="73AD0BB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restart"/>
            <w:tcBorders>
              <w:tl2br w:val="nil"/>
              <w:tr2bl w:val="nil"/>
            </w:tcBorders>
            <w:vAlign w:val="center"/>
          </w:tcPr>
          <w:p w14:paraId="2393D20B">
            <w:pPr>
              <w:spacing w:line="360" w:lineRule="auto"/>
              <w:jc w:val="center"/>
              <w:rPr>
                <w:rFonts w:eastAsia="仿宋"/>
                <w:color w:val="auto"/>
                <w:szCs w:val="21"/>
              </w:rPr>
            </w:pPr>
            <w:r>
              <w:rPr>
                <w:rFonts w:eastAsia="仿宋"/>
                <w:color w:val="auto"/>
                <w:szCs w:val="21"/>
              </w:rPr>
              <w:t>0.052</w:t>
            </w:r>
          </w:p>
        </w:tc>
        <w:tc>
          <w:tcPr>
            <w:tcW w:w="1256" w:type="dxa"/>
            <w:vMerge w:val="restart"/>
            <w:tcBorders>
              <w:tl2br w:val="nil"/>
              <w:tr2bl w:val="nil"/>
            </w:tcBorders>
            <w:vAlign w:val="center"/>
          </w:tcPr>
          <w:p w14:paraId="15C88E2B">
            <w:pPr>
              <w:spacing w:line="360" w:lineRule="auto"/>
              <w:jc w:val="center"/>
              <w:rPr>
                <w:rFonts w:hint="eastAsia" w:eastAsia="仿宋"/>
                <w:color w:val="auto"/>
                <w:szCs w:val="21"/>
                <w:lang w:eastAsia="zh-CN"/>
              </w:rPr>
            </w:pPr>
            <w:r>
              <w:rPr>
                <w:rFonts w:hint="eastAsia" w:eastAsia="仿宋"/>
                <w:color w:val="auto"/>
                <w:szCs w:val="21"/>
                <w:lang w:val="en-US" w:eastAsia="zh-CN"/>
              </w:rPr>
              <w:t>1</w:t>
            </w:r>
          </w:p>
        </w:tc>
        <w:tc>
          <w:tcPr>
            <w:tcW w:w="1335" w:type="dxa"/>
            <w:vMerge w:val="restart"/>
            <w:tcBorders>
              <w:tl2br w:val="nil"/>
              <w:tr2bl w:val="nil"/>
            </w:tcBorders>
            <w:vAlign w:val="center"/>
          </w:tcPr>
          <w:p w14:paraId="67A8ABA7">
            <w:pPr>
              <w:spacing w:line="360" w:lineRule="auto"/>
              <w:jc w:val="center"/>
              <w:rPr>
                <w:rFonts w:eastAsia="仿宋"/>
                <w:color w:val="auto"/>
                <w:szCs w:val="21"/>
              </w:rPr>
            </w:pPr>
          </w:p>
          <w:p w14:paraId="6FF3BD1D">
            <w:pPr>
              <w:spacing w:line="360" w:lineRule="auto"/>
              <w:jc w:val="center"/>
              <w:rPr>
                <w:rFonts w:eastAsia="仿宋"/>
                <w:color w:val="auto"/>
                <w:szCs w:val="21"/>
              </w:rPr>
            </w:pPr>
            <w:r>
              <w:rPr>
                <w:rFonts w:eastAsia="仿宋"/>
                <w:color w:val="auto"/>
                <w:szCs w:val="21"/>
              </w:rPr>
              <w:t>480</w:t>
            </w:r>
          </w:p>
          <w:p w14:paraId="32CDCA62">
            <w:pPr>
              <w:spacing w:line="360" w:lineRule="auto"/>
              <w:jc w:val="center"/>
              <w:rPr>
                <w:rFonts w:eastAsia="仿宋"/>
                <w:color w:val="auto"/>
                <w:szCs w:val="21"/>
              </w:rPr>
            </w:pPr>
          </w:p>
        </w:tc>
        <w:tc>
          <w:tcPr>
            <w:tcW w:w="1505" w:type="dxa"/>
            <w:tcBorders>
              <w:tl2br w:val="nil"/>
              <w:tr2bl w:val="nil"/>
            </w:tcBorders>
            <w:vAlign w:val="center"/>
          </w:tcPr>
          <w:p w14:paraId="44BB84C5">
            <w:pPr>
              <w:spacing w:line="360" w:lineRule="auto"/>
              <w:jc w:val="center"/>
              <w:rPr>
                <w:rFonts w:eastAsia="仿宋"/>
                <w:color w:val="auto"/>
                <w:szCs w:val="21"/>
              </w:rPr>
            </w:pPr>
            <w:r>
              <w:rPr>
                <w:rFonts w:eastAsia="仿宋"/>
                <w:color w:val="auto"/>
                <w:szCs w:val="21"/>
              </w:rPr>
              <w:t>0.147</w:t>
            </w:r>
          </w:p>
        </w:tc>
        <w:tc>
          <w:tcPr>
            <w:tcW w:w="1440" w:type="dxa"/>
            <w:tcBorders>
              <w:tl2br w:val="nil"/>
              <w:tr2bl w:val="nil"/>
            </w:tcBorders>
            <w:vAlign w:val="center"/>
          </w:tcPr>
          <w:p w14:paraId="09252E16">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0889847B">
            <w:pPr>
              <w:spacing w:line="360" w:lineRule="auto"/>
              <w:jc w:val="center"/>
              <w:rPr>
                <w:rFonts w:eastAsia="仿宋"/>
                <w:color w:val="auto"/>
                <w:szCs w:val="21"/>
              </w:rPr>
            </w:pPr>
            <w:r>
              <w:rPr>
                <w:rFonts w:eastAsia="仿宋"/>
                <w:color w:val="auto"/>
                <w:szCs w:val="21"/>
              </w:rPr>
              <w:t>100</w:t>
            </w:r>
          </w:p>
        </w:tc>
      </w:tr>
      <w:tr w14:paraId="4C0BC40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continue"/>
            <w:tcBorders>
              <w:tl2br w:val="nil"/>
              <w:tr2bl w:val="nil"/>
            </w:tcBorders>
            <w:vAlign w:val="center"/>
          </w:tcPr>
          <w:p w14:paraId="330DA026">
            <w:pPr>
              <w:spacing w:line="360" w:lineRule="auto"/>
              <w:jc w:val="center"/>
              <w:rPr>
                <w:rFonts w:eastAsia="仿宋"/>
                <w:color w:val="auto"/>
                <w:szCs w:val="21"/>
              </w:rPr>
            </w:pPr>
          </w:p>
        </w:tc>
        <w:tc>
          <w:tcPr>
            <w:tcW w:w="1256" w:type="dxa"/>
            <w:vMerge w:val="continue"/>
            <w:tcBorders>
              <w:tl2br w:val="nil"/>
              <w:tr2bl w:val="nil"/>
            </w:tcBorders>
            <w:vAlign w:val="center"/>
          </w:tcPr>
          <w:p w14:paraId="489382BE">
            <w:pPr>
              <w:spacing w:line="360" w:lineRule="auto"/>
              <w:jc w:val="center"/>
              <w:rPr>
                <w:rFonts w:eastAsia="仿宋"/>
                <w:color w:val="auto"/>
                <w:szCs w:val="21"/>
              </w:rPr>
            </w:pPr>
          </w:p>
        </w:tc>
        <w:tc>
          <w:tcPr>
            <w:tcW w:w="1335" w:type="dxa"/>
            <w:vMerge w:val="continue"/>
            <w:tcBorders>
              <w:tl2br w:val="nil"/>
              <w:tr2bl w:val="nil"/>
            </w:tcBorders>
            <w:vAlign w:val="center"/>
          </w:tcPr>
          <w:p w14:paraId="67C10CA9">
            <w:pPr>
              <w:spacing w:line="360" w:lineRule="auto"/>
              <w:jc w:val="center"/>
              <w:rPr>
                <w:rFonts w:eastAsia="仿宋"/>
                <w:color w:val="auto"/>
                <w:szCs w:val="21"/>
              </w:rPr>
            </w:pPr>
          </w:p>
        </w:tc>
        <w:tc>
          <w:tcPr>
            <w:tcW w:w="1505" w:type="dxa"/>
            <w:tcBorders>
              <w:tl2br w:val="nil"/>
              <w:tr2bl w:val="nil"/>
            </w:tcBorders>
            <w:vAlign w:val="center"/>
          </w:tcPr>
          <w:p w14:paraId="4A9A2DFA">
            <w:pPr>
              <w:spacing w:line="360" w:lineRule="auto"/>
              <w:jc w:val="center"/>
              <w:rPr>
                <w:rFonts w:eastAsia="仿宋"/>
                <w:color w:val="auto"/>
                <w:szCs w:val="21"/>
              </w:rPr>
            </w:pPr>
            <w:r>
              <w:rPr>
                <w:rFonts w:eastAsia="仿宋"/>
                <w:color w:val="auto"/>
                <w:szCs w:val="21"/>
              </w:rPr>
              <w:t>0.146</w:t>
            </w:r>
          </w:p>
        </w:tc>
        <w:tc>
          <w:tcPr>
            <w:tcW w:w="1440" w:type="dxa"/>
            <w:tcBorders>
              <w:tl2br w:val="nil"/>
              <w:tr2bl w:val="nil"/>
            </w:tcBorders>
            <w:vAlign w:val="center"/>
          </w:tcPr>
          <w:p w14:paraId="12888B50">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3D87788E">
            <w:pPr>
              <w:spacing w:line="360" w:lineRule="auto"/>
              <w:jc w:val="center"/>
              <w:rPr>
                <w:rFonts w:eastAsia="仿宋"/>
                <w:color w:val="auto"/>
                <w:szCs w:val="21"/>
              </w:rPr>
            </w:pPr>
            <w:r>
              <w:rPr>
                <w:rFonts w:eastAsia="仿宋"/>
                <w:color w:val="auto"/>
                <w:szCs w:val="21"/>
              </w:rPr>
              <w:t>100</w:t>
            </w:r>
          </w:p>
        </w:tc>
      </w:tr>
      <w:tr w14:paraId="029B779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continue"/>
            <w:tcBorders>
              <w:tl2br w:val="nil"/>
              <w:tr2bl w:val="nil"/>
            </w:tcBorders>
            <w:vAlign w:val="center"/>
          </w:tcPr>
          <w:p w14:paraId="51C67D06">
            <w:pPr>
              <w:spacing w:line="360" w:lineRule="auto"/>
              <w:jc w:val="center"/>
              <w:rPr>
                <w:rFonts w:eastAsia="仿宋"/>
                <w:color w:val="auto"/>
                <w:szCs w:val="21"/>
              </w:rPr>
            </w:pPr>
          </w:p>
        </w:tc>
        <w:tc>
          <w:tcPr>
            <w:tcW w:w="1256" w:type="dxa"/>
            <w:vMerge w:val="continue"/>
            <w:tcBorders>
              <w:tl2br w:val="nil"/>
              <w:tr2bl w:val="nil"/>
            </w:tcBorders>
            <w:vAlign w:val="center"/>
          </w:tcPr>
          <w:p w14:paraId="7A260B0C">
            <w:pPr>
              <w:spacing w:line="360" w:lineRule="auto"/>
              <w:jc w:val="center"/>
              <w:rPr>
                <w:rFonts w:eastAsia="仿宋"/>
                <w:color w:val="auto"/>
                <w:szCs w:val="21"/>
              </w:rPr>
            </w:pPr>
          </w:p>
        </w:tc>
        <w:tc>
          <w:tcPr>
            <w:tcW w:w="1335" w:type="dxa"/>
            <w:vMerge w:val="continue"/>
            <w:tcBorders>
              <w:tl2br w:val="nil"/>
              <w:tr2bl w:val="nil"/>
            </w:tcBorders>
            <w:vAlign w:val="center"/>
          </w:tcPr>
          <w:p w14:paraId="7486FDD1">
            <w:pPr>
              <w:spacing w:line="360" w:lineRule="auto"/>
              <w:jc w:val="center"/>
              <w:rPr>
                <w:rFonts w:eastAsia="仿宋"/>
                <w:color w:val="auto"/>
                <w:szCs w:val="21"/>
              </w:rPr>
            </w:pPr>
          </w:p>
        </w:tc>
        <w:tc>
          <w:tcPr>
            <w:tcW w:w="1505" w:type="dxa"/>
            <w:tcBorders>
              <w:tl2br w:val="nil"/>
              <w:tr2bl w:val="nil"/>
            </w:tcBorders>
            <w:vAlign w:val="center"/>
          </w:tcPr>
          <w:p w14:paraId="01797531">
            <w:pPr>
              <w:spacing w:line="360" w:lineRule="auto"/>
              <w:jc w:val="center"/>
              <w:rPr>
                <w:rFonts w:eastAsia="仿宋"/>
                <w:color w:val="auto"/>
                <w:szCs w:val="21"/>
              </w:rPr>
            </w:pPr>
            <w:r>
              <w:rPr>
                <w:rFonts w:eastAsia="仿宋"/>
                <w:color w:val="auto"/>
                <w:szCs w:val="21"/>
              </w:rPr>
              <w:t>0.149</w:t>
            </w:r>
          </w:p>
        </w:tc>
        <w:tc>
          <w:tcPr>
            <w:tcW w:w="1440" w:type="dxa"/>
            <w:tcBorders>
              <w:tl2br w:val="nil"/>
              <w:tr2bl w:val="nil"/>
            </w:tcBorders>
            <w:vAlign w:val="center"/>
          </w:tcPr>
          <w:p w14:paraId="53DCF8EA">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4DC31D96">
            <w:pPr>
              <w:spacing w:line="360" w:lineRule="auto"/>
              <w:jc w:val="center"/>
              <w:rPr>
                <w:rFonts w:eastAsia="仿宋"/>
                <w:color w:val="auto"/>
                <w:szCs w:val="21"/>
              </w:rPr>
            </w:pPr>
            <w:r>
              <w:rPr>
                <w:rFonts w:eastAsia="仿宋"/>
                <w:color w:val="auto"/>
                <w:szCs w:val="21"/>
              </w:rPr>
              <w:t>100</w:t>
            </w:r>
          </w:p>
        </w:tc>
      </w:tr>
      <w:tr w14:paraId="71567BB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restart"/>
            <w:tcBorders>
              <w:tl2br w:val="nil"/>
              <w:tr2bl w:val="nil"/>
            </w:tcBorders>
            <w:vAlign w:val="center"/>
          </w:tcPr>
          <w:p w14:paraId="66DCA3EC">
            <w:pPr>
              <w:spacing w:line="360" w:lineRule="auto"/>
              <w:jc w:val="center"/>
              <w:rPr>
                <w:rFonts w:eastAsia="仿宋"/>
                <w:color w:val="auto"/>
                <w:szCs w:val="21"/>
              </w:rPr>
            </w:pPr>
            <w:r>
              <w:rPr>
                <w:rFonts w:eastAsia="仿宋"/>
                <w:color w:val="auto"/>
                <w:szCs w:val="21"/>
              </w:rPr>
              <w:t>0.17</w:t>
            </w:r>
          </w:p>
          <w:p w14:paraId="003CC903">
            <w:pPr>
              <w:spacing w:line="360" w:lineRule="auto"/>
              <w:jc w:val="center"/>
              <w:rPr>
                <w:rFonts w:eastAsia="仿宋"/>
                <w:color w:val="auto"/>
                <w:szCs w:val="21"/>
              </w:rPr>
            </w:pPr>
          </w:p>
        </w:tc>
        <w:tc>
          <w:tcPr>
            <w:tcW w:w="1256" w:type="dxa"/>
            <w:vMerge w:val="continue"/>
            <w:tcBorders>
              <w:tl2br w:val="nil"/>
              <w:tr2bl w:val="nil"/>
            </w:tcBorders>
            <w:vAlign w:val="center"/>
          </w:tcPr>
          <w:p w14:paraId="22D12916">
            <w:pPr>
              <w:spacing w:line="360" w:lineRule="auto"/>
              <w:jc w:val="center"/>
              <w:rPr>
                <w:rFonts w:eastAsia="仿宋"/>
                <w:color w:val="auto"/>
                <w:szCs w:val="21"/>
              </w:rPr>
            </w:pPr>
          </w:p>
        </w:tc>
        <w:tc>
          <w:tcPr>
            <w:tcW w:w="1335" w:type="dxa"/>
            <w:vMerge w:val="continue"/>
            <w:tcBorders>
              <w:tl2br w:val="nil"/>
              <w:tr2bl w:val="nil"/>
            </w:tcBorders>
            <w:vAlign w:val="center"/>
          </w:tcPr>
          <w:p w14:paraId="78CD6BE3">
            <w:pPr>
              <w:spacing w:line="360" w:lineRule="auto"/>
              <w:jc w:val="center"/>
              <w:rPr>
                <w:rFonts w:eastAsia="仿宋"/>
                <w:color w:val="auto"/>
                <w:szCs w:val="21"/>
              </w:rPr>
            </w:pPr>
          </w:p>
        </w:tc>
        <w:tc>
          <w:tcPr>
            <w:tcW w:w="1505" w:type="dxa"/>
            <w:tcBorders>
              <w:tl2br w:val="nil"/>
              <w:tr2bl w:val="nil"/>
            </w:tcBorders>
            <w:vAlign w:val="center"/>
          </w:tcPr>
          <w:p w14:paraId="0E557AF5">
            <w:pPr>
              <w:spacing w:line="360" w:lineRule="auto"/>
              <w:jc w:val="center"/>
              <w:rPr>
                <w:rFonts w:eastAsia="仿宋"/>
                <w:color w:val="auto"/>
                <w:szCs w:val="21"/>
              </w:rPr>
            </w:pPr>
            <w:r>
              <w:rPr>
                <w:rFonts w:eastAsia="仿宋"/>
                <w:color w:val="auto"/>
                <w:szCs w:val="21"/>
              </w:rPr>
              <w:t>0.479</w:t>
            </w:r>
          </w:p>
        </w:tc>
        <w:tc>
          <w:tcPr>
            <w:tcW w:w="1440" w:type="dxa"/>
            <w:tcBorders>
              <w:tl2br w:val="nil"/>
              <w:tr2bl w:val="nil"/>
            </w:tcBorders>
            <w:vAlign w:val="center"/>
          </w:tcPr>
          <w:p w14:paraId="4C64FAB7">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45ED1FBE">
            <w:pPr>
              <w:spacing w:line="360" w:lineRule="auto"/>
              <w:jc w:val="center"/>
              <w:rPr>
                <w:rFonts w:eastAsia="仿宋"/>
                <w:color w:val="auto"/>
                <w:szCs w:val="21"/>
              </w:rPr>
            </w:pPr>
            <w:r>
              <w:rPr>
                <w:rFonts w:eastAsia="仿宋"/>
                <w:color w:val="auto"/>
                <w:szCs w:val="21"/>
              </w:rPr>
              <w:t>100</w:t>
            </w:r>
          </w:p>
        </w:tc>
      </w:tr>
      <w:tr w14:paraId="5497655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continue"/>
            <w:tcBorders>
              <w:tl2br w:val="nil"/>
              <w:tr2bl w:val="nil"/>
            </w:tcBorders>
            <w:vAlign w:val="center"/>
          </w:tcPr>
          <w:p w14:paraId="4B7C81C6">
            <w:pPr>
              <w:spacing w:line="360" w:lineRule="auto"/>
              <w:jc w:val="center"/>
              <w:rPr>
                <w:rFonts w:eastAsia="仿宋"/>
                <w:color w:val="auto"/>
                <w:szCs w:val="21"/>
              </w:rPr>
            </w:pPr>
          </w:p>
        </w:tc>
        <w:tc>
          <w:tcPr>
            <w:tcW w:w="1256" w:type="dxa"/>
            <w:vMerge w:val="continue"/>
            <w:tcBorders>
              <w:tl2br w:val="nil"/>
              <w:tr2bl w:val="nil"/>
            </w:tcBorders>
            <w:vAlign w:val="center"/>
          </w:tcPr>
          <w:p w14:paraId="3021406E">
            <w:pPr>
              <w:spacing w:line="360" w:lineRule="auto"/>
              <w:jc w:val="center"/>
              <w:rPr>
                <w:rFonts w:eastAsia="仿宋"/>
                <w:color w:val="auto"/>
                <w:szCs w:val="21"/>
              </w:rPr>
            </w:pPr>
          </w:p>
        </w:tc>
        <w:tc>
          <w:tcPr>
            <w:tcW w:w="1335" w:type="dxa"/>
            <w:vMerge w:val="continue"/>
            <w:tcBorders>
              <w:tl2br w:val="nil"/>
              <w:tr2bl w:val="nil"/>
            </w:tcBorders>
            <w:vAlign w:val="center"/>
          </w:tcPr>
          <w:p w14:paraId="4E44191C">
            <w:pPr>
              <w:spacing w:line="360" w:lineRule="auto"/>
              <w:jc w:val="center"/>
              <w:rPr>
                <w:rFonts w:eastAsia="仿宋"/>
                <w:color w:val="auto"/>
                <w:szCs w:val="21"/>
              </w:rPr>
            </w:pPr>
          </w:p>
        </w:tc>
        <w:tc>
          <w:tcPr>
            <w:tcW w:w="1505" w:type="dxa"/>
            <w:tcBorders>
              <w:tl2br w:val="nil"/>
              <w:tr2bl w:val="nil"/>
            </w:tcBorders>
            <w:vAlign w:val="center"/>
          </w:tcPr>
          <w:p w14:paraId="4D5203C6">
            <w:pPr>
              <w:spacing w:line="360" w:lineRule="auto"/>
              <w:jc w:val="center"/>
              <w:rPr>
                <w:rFonts w:eastAsia="仿宋"/>
                <w:color w:val="auto"/>
                <w:szCs w:val="21"/>
              </w:rPr>
            </w:pPr>
            <w:r>
              <w:rPr>
                <w:rFonts w:eastAsia="仿宋"/>
                <w:color w:val="auto"/>
                <w:szCs w:val="21"/>
              </w:rPr>
              <w:t>0.482</w:t>
            </w:r>
          </w:p>
        </w:tc>
        <w:tc>
          <w:tcPr>
            <w:tcW w:w="1440" w:type="dxa"/>
            <w:tcBorders>
              <w:tl2br w:val="nil"/>
              <w:tr2bl w:val="nil"/>
            </w:tcBorders>
            <w:vAlign w:val="center"/>
          </w:tcPr>
          <w:p w14:paraId="64DDE606">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3DCE6E07">
            <w:pPr>
              <w:spacing w:line="360" w:lineRule="auto"/>
              <w:jc w:val="center"/>
              <w:rPr>
                <w:rFonts w:eastAsia="仿宋"/>
                <w:color w:val="auto"/>
                <w:szCs w:val="21"/>
              </w:rPr>
            </w:pPr>
            <w:r>
              <w:rPr>
                <w:rFonts w:eastAsia="仿宋"/>
                <w:color w:val="auto"/>
                <w:szCs w:val="21"/>
              </w:rPr>
              <w:t>100</w:t>
            </w:r>
          </w:p>
        </w:tc>
      </w:tr>
      <w:tr w14:paraId="5E7DBF4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56" w:type="dxa"/>
            <w:vMerge w:val="continue"/>
            <w:tcBorders>
              <w:tl2br w:val="nil"/>
              <w:tr2bl w:val="nil"/>
            </w:tcBorders>
            <w:vAlign w:val="center"/>
          </w:tcPr>
          <w:p w14:paraId="141402F7">
            <w:pPr>
              <w:spacing w:line="360" w:lineRule="auto"/>
              <w:jc w:val="center"/>
              <w:rPr>
                <w:rFonts w:eastAsia="仿宋"/>
                <w:color w:val="auto"/>
                <w:szCs w:val="21"/>
              </w:rPr>
            </w:pPr>
          </w:p>
        </w:tc>
        <w:tc>
          <w:tcPr>
            <w:tcW w:w="1256" w:type="dxa"/>
            <w:vMerge w:val="continue"/>
            <w:tcBorders>
              <w:tl2br w:val="nil"/>
              <w:tr2bl w:val="nil"/>
            </w:tcBorders>
            <w:vAlign w:val="center"/>
          </w:tcPr>
          <w:p w14:paraId="19AEA726">
            <w:pPr>
              <w:spacing w:line="360" w:lineRule="auto"/>
              <w:jc w:val="center"/>
              <w:rPr>
                <w:rFonts w:eastAsia="仿宋"/>
                <w:color w:val="auto"/>
                <w:szCs w:val="21"/>
              </w:rPr>
            </w:pPr>
          </w:p>
        </w:tc>
        <w:tc>
          <w:tcPr>
            <w:tcW w:w="1335" w:type="dxa"/>
            <w:vMerge w:val="continue"/>
            <w:tcBorders>
              <w:tl2br w:val="nil"/>
              <w:tr2bl w:val="nil"/>
            </w:tcBorders>
            <w:vAlign w:val="center"/>
          </w:tcPr>
          <w:p w14:paraId="74D0AC6F">
            <w:pPr>
              <w:spacing w:line="360" w:lineRule="auto"/>
              <w:jc w:val="center"/>
              <w:rPr>
                <w:rFonts w:eastAsia="仿宋"/>
                <w:color w:val="auto"/>
                <w:szCs w:val="21"/>
              </w:rPr>
            </w:pPr>
          </w:p>
        </w:tc>
        <w:tc>
          <w:tcPr>
            <w:tcW w:w="1505" w:type="dxa"/>
            <w:tcBorders>
              <w:tl2br w:val="nil"/>
              <w:tr2bl w:val="nil"/>
            </w:tcBorders>
            <w:vAlign w:val="center"/>
          </w:tcPr>
          <w:p w14:paraId="26E8463F">
            <w:pPr>
              <w:spacing w:line="360" w:lineRule="auto"/>
              <w:jc w:val="center"/>
              <w:rPr>
                <w:rFonts w:eastAsia="仿宋"/>
                <w:color w:val="auto"/>
                <w:szCs w:val="21"/>
              </w:rPr>
            </w:pPr>
            <w:r>
              <w:rPr>
                <w:rFonts w:eastAsia="仿宋"/>
                <w:color w:val="auto"/>
                <w:szCs w:val="21"/>
              </w:rPr>
              <w:t>0.483</w:t>
            </w:r>
          </w:p>
        </w:tc>
        <w:tc>
          <w:tcPr>
            <w:tcW w:w="1440" w:type="dxa"/>
            <w:tcBorders>
              <w:tl2br w:val="nil"/>
              <w:tr2bl w:val="nil"/>
            </w:tcBorders>
            <w:vAlign w:val="center"/>
          </w:tcPr>
          <w:p w14:paraId="593C928D">
            <w:pPr>
              <w:spacing w:line="360" w:lineRule="auto"/>
              <w:jc w:val="center"/>
              <w:rPr>
                <w:rFonts w:eastAsia="仿宋"/>
                <w:color w:val="auto"/>
                <w:szCs w:val="21"/>
              </w:rPr>
            </w:pPr>
            <w:r>
              <w:rPr>
                <w:rFonts w:eastAsia="仿宋"/>
                <w:color w:val="auto"/>
                <w:szCs w:val="21"/>
              </w:rPr>
              <w:t>0</w:t>
            </w:r>
          </w:p>
        </w:tc>
        <w:tc>
          <w:tcPr>
            <w:tcW w:w="1256" w:type="dxa"/>
            <w:tcBorders>
              <w:tl2br w:val="nil"/>
              <w:tr2bl w:val="nil"/>
            </w:tcBorders>
            <w:vAlign w:val="center"/>
          </w:tcPr>
          <w:p w14:paraId="4B9B202F">
            <w:pPr>
              <w:spacing w:line="360" w:lineRule="auto"/>
              <w:jc w:val="center"/>
              <w:rPr>
                <w:rFonts w:eastAsia="仿宋"/>
                <w:color w:val="auto"/>
                <w:szCs w:val="21"/>
              </w:rPr>
            </w:pPr>
            <w:r>
              <w:rPr>
                <w:rFonts w:eastAsia="仿宋"/>
                <w:color w:val="auto"/>
                <w:szCs w:val="21"/>
              </w:rPr>
              <w:t>100</w:t>
            </w:r>
          </w:p>
        </w:tc>
      </w:tr>
    </w:tbl>
    <w:p w14:paraId="7F191472">
      <w:pPr>
        <w:spacing w:before="156" w:beforeLines="50" w:line="500" w:lineRule="exact"/>
        <w:ind w:firstLine="560" w:firstLineChars="200"/>
        <w:rPr>
          <w:rFonts w:eastAsia="仿宋"/>
          <w:color w:val="auto"/>
          <w:sz w:val="28"/>
          <w:szCs w:val="28"/>
        </w:rPr>
      </w:pPr>
      <w:r>
        <w:rPr>
          <w:rFonts w:hint="eastAsia" w:eastAsia="黑体"/>
          <w:color w:val="auto"/>
          <w:sz w:val="28"/>
          <w:szCs w:val="28"/>
          <w:lang w:val="en-US" w:eastAsia="zh-CN"/>
        </w:rPr>
        <w:t>6.9</w:t>
      </w:r>
      <w:r>
        <w:rPr>
          <w:rFonts w:hint="eastAsia" w:eastAsia="黑体"/>
          <w:color w:val="auto"/>
          <w:sz w:val="28"/>
          <w:szCs w:val="28"/>
        </w:rPr>
        <w:t>洗脱效率</w:t>
      </w:r>
      <w:r>
        <w:rPr>
          <w:rFonts w:eastAsia="黑体"/>
          <w:color w:val="auto"/>
          <w:sz w:val="28"/>
          <w:szCs w:val="28"/>
        </w:rPr>
        <w:t>试验</w:t>
      </w:r>
    </w:p>
    <w:p w14:paraId="5BF85CA7">
      <w:pPr>
        <w:shd w:val="clear" w:color="auto" w:fill="FFFFFF"/>
        <w:spacing w:line="460" w:lineRule="exact"/>
        <w:ind w:firstLine="560" w:firstLineChars="200"/>
        <w:rPr>
          <w:rFonts w:eastAsia="仿宋"/>
          <w:color w:val="auto"/>
          <w:sz w:val="28"/>
          <w:szCs w:val="28"/>
        </w:rPr>
      </w:pPr>
      <w:bookmarkStart w:id="1" w:name="OLE_LINK14"/>
      <w:r>
        <w:rPr>
          <w:rFonts w:eastAsia="仿宋"/>
          <w:color w:val="auto"/>
          <w:sz w:val="28"/>
          <w:szCs w:val="28"/>
        </w:rPr>
        <w:t>将18张玻璃纤维滤纸分为3组，每组6张，分别加入低、中、高不同浓度水平的草铵膦标准使用液，将滤纸的添加溶液的一面朝里对折，于10 mL具塞比色管中室温下放置过夜，按</w:t>
      </w:r>
      <w:r>
        <w:rPr>
          <w:rFonts w:hint="eastAsia" w:eastAsia="仿宋"/>
          <w:color w:val="auto"/>
          <w:sz w:val="28"/>
          <w:szCs w:val="28"/>
        </w:rPr>
        <w:t>方法</w:t>
      </w:r>
      <w:r>
        <w:rPr>
          <w:rFonts w:eastAsia="仿宋"/>
          <w:color w:val="auto"/>
          <w:sz w:val="28"/>
          <w:szCs w:val="28"/>
        </w:rPr>
        <w:t>处理后进样分析，扣除空白值后，根据测定量计算洗脱效率。结果显示，各浓度洗脱效率均大于90%，平均洗脱效率为98.4%</w:t>
      </w:r>
      <w:bookmarkEnd w:id="1"/>
      <w:r>
        <w:rPr>
          <w:rFonts w:eastAsia="仿宋"/>
          <w:color w:val="auto"/>
          <w:sz w:val="28"/>
          <w:szCs w:val="28"/>
        </w:rPr>
        <w:t>。见表</w:t>
      </w:r>
      <w:r>
        <w:rPr>
          <w:rFonts w:hint="eastAsia" w:eastAsia="仿宋"/>
          <w:color w:val="auto"/>
          <w:sz w:val="28"/>
          <w:szCs w:val="28"/>
          <w:lang w:val="en-US" w:eastAsia="zh-CN"/>
        </w:rPr>
        <w:t>10</w:t>
      </w:r>
      <w:r>
        <w:rPr>
          <w:rFonts w:hint="eastAsia" w:eastAsia="仿宋"/>
          <w:color w:val="auto"/>
          <w:sz w:val="28"/>
          <w:szCs w:val="28"/>
        </w:rPr>
        <w:t>。</w:t>
      </w:r>
    </w:p>
    <w:p w14:paraId="32EC5D3C">
      <w:pPr>
        <w:shd w:val="clear" w:color="auto" w:fill="FFFFFF"/>
        <w:spacing w:line="360" w:lineRule="auto"/>
        <w:ind w:firstLine="420" w:firstLineChars="200"/>
        <w:jc w:val="center"/>
        <w:rPr>
          <w:rFonts w:eastAsia="仿宋"/>
          <w:color w:val="auto"/>
          <w:szCs w:val="21"/>
        </w:rPr>
      </w:pPr>
      <w:r>
        <w:rPr>
          <w:rFonts w:eastAsia="仿宋"/>
          <w:color w:val="auto"/>
          <w:szCs w:val="21"/>
        </w:rPr>
        <w:t>表</w:t>
      </w:r>
      <w:r>
        <w:rPr>
          <w:rFonts w:hint="eastAsia" w:eastAsia="仿宋"/>
          <w:color w:val="auto"/>
          <w:szCs w:val="21"/>
          <w:lang w:val="en-US" w:eastAsia="zh-CN"/>
        </w:rPr>
        <w:t>10</w:t>
      </w:r>
      <w:r>
        <w:rPr>
          <w:rFonts w:eastAsia="仿宋"/>
          <w:color w:val="auto"/>
          <w:szCs w:val="21"/>
        </w:rPr>
        <w:t xml:space="preserve"> 洗脱效率试验（n=6）</w:t>
      </w:r>
    </w:p>
    <w:tbl>
      <w:tblPr>
        <w:tblStyle w:val="22"/>
        <w:tblpPr w:leftFromText="180" w:rightFromText="180" w:vertAnchor="text" w:horzAnchor="page" w:tblpXSpec="center" w:tblpY="32"/>
        <w:tblOverlap w:val="never"/>
        <w:tblW w:w="9061"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85"/>
        <w:gridCol w:w="716"/>
        <w:gridCol w:w="772"/>
        <w:gridCol w:w="772"/>
        <w:gridCol w:w="772"/>
        <w:gridCol w:w="772"/>
        <w:gridCol w:w="775"/>
        <w:gridCol w:w="1637"/>
        <w:gridCol w:w="1260"/>
      </w:tblGrid>
      <w:tr w14:paraId="71E5DB1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5" w:type="dxa"/>
            <w:tcBorders>
              <w:bottom w:val="single" w:color="auto" w:sz="12" w:space="0"/>
            </w:tcBorders>
            <w:vAlign w:val="center"/>
          </w:tcPr>
          <w:p w14:paraId="6DE7D8A2">
            <w:pPr>
              <w:shd w:val="clear" w:color="auto" w:fill="FFFFFF"/>
              <w:spacing w:line="360" w:lineRule="auto"/>
              <w:jc w:val="center"/>
              <w:rPr>
                <w:rFonts w:eastAsia="仿宋"/>
                <w:color w:val="auto"/>
                <w:szCs w:val="21"/>
              </w:rPr>
            </w:pPr>
            <w:bookmarkStart w:id="2" w:name="OLE_LINK15"/>
            <w:r>
              <w:rPr>
                <w:rFonts w:eastAsia="仿宋"/>
                <w:color w:val="auto"/>
                <w:szCs w:val="21"/>
              </w:rPr>
              <w:t>加标量（μg）</w:t>
            </w:r>
          </w:p>
        </w:tc>
        <w:tc>
          <w:tcPr>
            <w:tcW w:w="4579" w:type="dxa"/>
            <w:gridSpan w:val="6"/>
            <w:tcBorders>
              <w:bottom w:val="single" w:color="auto" w:sz="12" w:space="0"/>
            </w:tcBorders>
            <w:vAlign w:val="center"/>
          </w:tcPr>
          <w:p w14:paraId="09E3C6BB">
            <w:pPr>
              <w:shd w:val="clear" w:color="auto" w:fill="FFFFFF"/>
              <w:spacing w:line="360" w:lineRule="auto"/>
              <w:jc w:val="center"/>
              <w:rPr>
                <w:rFonts w:eastAsia="仿宋"/>
                <w:color w:val="auto"/>
                <w:szCs w:val="21"/>
              </w:rPr>
            </w:pPr>
            <w:r>
              <w:rPr>
                <w:rFonts w:eastAsia="仿宋"/>
                <w:color w:val="auto"/>
                <w:szCs w:val="21"/>
              </w:rPr>
              <w:t>测定量（μg）</w:t>
            </w:r>
          </w:p>
        </w:tc>
        <w:tc>
          <w:tcPr>
            <w:tcW w:w="1637" w:type="dxa"/>
            <w:tcBorders>
              <w:bottom w:val="single" w:color="auto" w:sz="12" w:space="0"/>
            </w:tcBorders>
            <w:vAlign w:val="center"/>
          </w:tcPr>
          <w:p w14:paraId="7AB46719">
            <w:pPr>
              <w:shd w:val="clear" w:color="auto" w:fill="FFFFFF"/>
              <w:spacing w:line="360" w:lineRule="auto"/>
              <w:jc w:val="center"/>
              <w:rPr>
                <w:rFonts w:eastAsia="仿宋"/>
                <w:color w:val="auto"/>
                <w:szCs w:val="21"/>
              </w:rPr>
            </w:pPr>
            <w:r>
              <w:rPr>
                <w:rFonts w:eastAsia="仿宋"/>
                <w:color w:val="auto"/>
                <w:szCs w:val="21"/>
              </w:rPr>
              <w:t>平均值（μg）</w:t>
            </w:r>
          </w:p>
        </w:tc>
        <w:tc>
          <w:tcPr>
            <w:tcW w:w="1260" w:type="dxa"/>
            <w:tcBorders>
              <w:bottom w:val="single" w:color="auto" w:sz="12" w:space="0"/>
            </w:tcBorders>
            <w:vAlign w:val="center"/>
          </w:tcPr>
          <w:p w14:paraId="58275232">
            <w:pPr>
              <w:shd w:val="clear" w:color="auto" w:fill="FFFFFF"/>
              <w:spacing w:line="360" w:lineRule="auto"/>
              <w:jc w:val="center"/>
              <w:rPr>
                <w:rFonts w:eastAsia="仿宋"/>
                <w:color w:val="auto"/>
                <w:szCs w:val="21"/>
              </w:rPr>
            </w:pPr>
            <w:r>
              <w:rPr>
                <w:rFonts w:eastAsia="仿宋"/>
                <w:color w:val="auto"/>
                <w:szCs w:val="21"/>
              </w:rPr>
              <w:t>RSD（%）</w:t>
            </w:r>
          </w:p>
        </w:tc>
      </w:tr>
      <w:tr w14:paraId="13F0A0B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5" w:type="dxa"/>
            <w:tcBorders>
              <w:top w:val="single" w:color="auto" w:sz="12" w:space="0"/>
              <w:tl2br w:val="nil"/>
              <w:tr2bl w:val="nil"/>
            </w:tcBorders>
            <w:vAlign w:val="center"/>
          </w:tcPr>
          <w:p w14:paraId="4A21A048">
            <w:pPr>
              <w:shd w:val="clear" w:color="auto" w:fill="FFFFFF"/>
              <w:spacing w:line="360" w:lineRule="auto"/>
              <w:ind w:firstLine="420" w:firstLineChars="200"/>
              <w:rPr>
                <w:rFonts w:eastAsia="仿宋"/>
                <w:color w:val="auto"/>
                <w:szCs w:val="21"/>
              </w:rPr>
            </w:pPr>
            <w:r>
              <w:rPr>
                <w:rFonts w:eastAsia="仿宋"/>
                <w:color w:val="auto"/>
                <w:szCs w:val="21"/>
              </w:rPr>
              <w:t>0.52</w:t>
            </w:r>
          </w:p>
        </w:tc>
        <w:tc>
          <w:tcPr>
            <w:tcW w:w="716" w:type="dxa"/>
            <w:tcBorders>
              <w:top w:val="single" w:color="auto" w:sz="12" w:space="0"/>
              <w:tl2br w:val="nil"/>
              <w:tr2bl w:val="nil"/>
            </w:tcBorders>
            <w:vAlign w:val="center"/>
          </w:tcPr>
          <w:p w14:paraId="1F2427AB">
            <w:pPr>
              <w:shd w:val="clear" w:color="auto" w:fill="FFFFFF"/>
              <w:spacing w:line="360" w:lineRule="auto"/>
              <w:jc w:val="center"/>
              <w:rPr>
                <w:rFonts w:eastAsia="仿宋"/>
                <w:color w:val="auto"/>
                <w:szCs w:val="21"/>
              </w:rPr>
            </w:pPr>
            <w:r>
              <w:rPr>
                <w:rFonts w:eastAsia="仿宋"/>
                <w:color w:val="auto"/>
                <w:szCs w:val="21"/>
              </w:rPr>
              <w:t>0.49</w:t>
            </w:r>
          </w:p>
        </w:tc>
        <w:tc>
          <w:tcPr>
            <w:tcW w:w="772" w:type="dxa"/>
            <w:tcBorders>
              <w:top w:val="single" w:color="auto" w:sz="12" w:space="0"/>
              <w:tl2br w:val="nil"/>
              <w:tr2bl w:val="nil"/>
            </w:tcBorders>
            <w:vAlign w:val="center"/>
          </w:tcPr>
          <w:p w14:paraId="26E8343D">
            <w:pPr>
              <w:shd w:val="clear" w:color="auto" w:fill="FFFFFF"/>
              <w:spacing w:line="360" w:lineRule="auto"/>
              <w:jc w:val="center"/>
              <w:rPr>
                <w:rFonts w:eastAsia="仿宋"/>
                <w:color w:val="auto"/>
                <w:szCs w:val="21"/>
              </w:rPr>
            </w:pPr>
            <w:r>
              <w:rPr>
                <w:rFonts w:eastAsia="仿宋"/>
                <w:color w:val="auto"/>
                <w:szCs w:val="21"/>
              </w:rPr>
              <w:t>0.49</w:t>
            </w:r>
          </w:p>
        </w:tc>
        <w:tc>
          <w:tcPr>
            <w:tcW w:w="772" w:type="dxa"/>
            <w:tcBorders>
              <w:top w:val="single" w:color="auto" w:sz="12" w:space="0"/>
              <w:tl2br w:val="nil"/>
              <w:tr2bl w:val="nil"/>
            </w:tcBorders>
            <w:vAlign w:val="center"/>
          </w:tcPr>
          <w:p w14:paraId="6BAAA785">
            <w:pPr>
              <w:shd w:val="clear" w:color="auto" w:fill="FFFFFF"/>
              <w:spacing w:line="360" w:lineRule="auto"/>
              <w:jc w:val="center"/>
              <w:rPr>
                <w:rFonts w:eastAsia="仿宋"/>
                <w:color w:val="auto"/>
                <w:szCs w:val="21"/>
              </w:rPr>
            </w:pPr>
            <w:r>
              <w:rPr>
                <w:rFonts w:eastAsia="仿宋"/>
                <w:color w:val="auto"/>
                <w:szCs w:val="21"/>
              </w:rPr>
              <w:t>0.49</w:t>
            </w:r>
          </w:p>
        </w:tc>
        <w:tc>
          <w:tcPr>
            <w:tcW w:w="772" w:type="dxa"/>
            <w:tcBorders>
              <w:top w:val="single" w:color="auto" w:sz="12" w:space="0"/>
              <w:tl2br w:val="nil"/>
              <w:tr2bl w:val="nil"/>
            </w:tcBorders>
            <w:vAlign w:val="center"/>
          </w:tcPr>
          <w:p w14:paraId="47D9A560">
            <w:pPr>
              <w:shd w:val="clear" w:color="auto" w:fill="FFFFFF"/>
              <w:spacing w:line="360" w:lineRule="auto"/>
              <w:jc w:val="center"/>
              <w:rPr>
                <w:rFonts w:eastAsia="仿宋"/>
                <w:color w:val="auto"/>
                <w:szCs w:val="21"/>
              </w:rPr>
            </w:pPr>
            <w:r>
              <w:rPr>
                <w:rFonts w:eastAsia="仿宋"/>
                <w:color w:val="auto"/>
                <w:szCs w:val="21"/>
              </w:rPr>
              <w:t>0.52</w:t>
            </w:r>
          </w:p>
        </w:tc>
        <w:tc>
          <w:tcPr>
            <w:tcW w:w="772" w:type="dxa"/>
            <w:tcBorders>
              <w:top w:val="single" w:color="auto" w:sz="12" w:space="0"/>
              <w:tl2br w:val="nil"/>
              <w:tr2bl w:val="nil"/>
            </w:tcBorders>
            <w:vAlign w:val="center"/>
          </w:tcPr>
          <w:p w14:paraId="3378A114">
            <w:pPr>
              <w:shd w:val="clear" w:color="auto" w:fill="FFFFFF"/>
              <w:spacing w:line="360" w:lineRule="auto"/>
              <w:jc w:val="center"/>
              <w:rPr>
                <w:rFonts w:eastAsia="仿宋"/>
                <w:color w:val="auto"/>
                <w:szCs w:val="21"/>
              </w:rPr>
            </w:pPr>
            <w:r>
              <w:rPr>
                <w:rFonts w:eastAsia="仿宋"/>
                <w:color w:val="auto"/>
                <w:szCs w:val="21"/>
              </w:rPr>
              <w:t>0.55</w:t>
            </w:r>
          </w:p>
        </w:tc>
        <w:tc>
          <w:tcPr>
            <w:tcW w:w="775" w:type="dxa"/>
            <w:tcBorders>
              <w:top w:val="single" w:color="auto" w:sz="12" w:space="0"/>
              <w:tl2br w:val="nil"/>
              <w:tr2bl w:val="nil"/>
            </w:tcBorders>
            <w:vAlign w:val="center"/>
          </w:tcPr>
          <w:p w14:paraId="1C4328A6">
            <w:pPr>
              <w:shd w:val="clear" w:color="auto" w:fill="FFFFFF"/>
              <w:spacing w:line="360" w:lineRule="auto"/>
              <w:jc w:val="center"/>
              <w:rPr>
                <w:rFonts w:eastAsia="仿宋"/>
                <w:color w:val="auto"/>
                <w:szCs w:val="21"/>
              </w:rPr>
            </w:pPr>
            <w:r>
              <w:rPr>
                <w:rFonts w:eastAsia="仿宋"/>
                <w:color w:val="auto"/>
                <w:szCs w:val="21"/>
              </w:rPr>
              <w:t>0.49</w:t>
            </w:r>
          </w:p>
        </w:tc>
        <w:tc>
          <w:tcPr>
            <w:tcW w:w="1637" w:type="dxa"/>
            <w:tcBorders>
              <w:top w:val="single" w:color="auto" w:sz="12" w:space="0"/>
              <w:tl2br w:val="nil"/>
              <w:tr2bl w:val="nil"/>
            </w:tcBorders>
            <w:vAlign w:val="center"/>
          </w:tcPr>
          <w:p w14:paraId="4B69A8A8">
            <w:pPr>
              <w:shd w:val="clear" w:color="auto" w:fill="FFFFFF"/>
              <w:spacing w:line="360" w:lineRule="auto"/>
              <w:ind w:firstLine="420" w:firstLineChars="200"/>
              <w:rPr>
                <w:rFonts w:eastAsia="仿宋"/>
                <w:color w:val="auto"/>
                <w:szCs w:val="21"/>
              </w:rPr>
            </w:pPr>
            <w:r>
              <w:rPr>
                <w:rFonts w:eastAsia="仿宋"/>
                <w:color w:val="auto"/>
                <w:szCs w:val="21"/>
              </w:rPr>
              <w:t>0.50</w:t>
            </w:r>
          </w:p>
        </w:tc>
        <w:tc>
          <w:tcPr>
            <w:tcW w:w="1260" w:type="dxa"/>
            <w:tcBorders>
              <w:top w:val="single" w:color="auto" w:sz="12" w:space="0"/>
              <w:tl2br w:val="nil"/>
              <w:tr2bl w:val="nil"/>
            </w:tcBorders>
            <w:vAlign w:val="center"/>
          </w:tcPr>
          <w:p w14:paraId="7EC91B03">
            <w:pPr>
              <w:shd w:val="clear" w:color="auto" w:fill="FFFFFF"/>
              <w:spacing w:line="360" w:lineRule="auto"/>
              <w:jc w:val="center"/>
              <w:rPr>
                <w:rFonts w:eastAsia="仿宋"/>
                <w:color w:val="auto"/>
                <w:szCs w:val="21"/>
              </w:rPr>
            </w:pPr>
            <w:r>
              <w:rPr>
                <w:rFonts w:eastAsia="仿宋"/>
                <w:color w:val="auto"/>
                <w:szCs w:val="21"/>
              </w:rPr>
              <w:t>4.8</w:t>
            </w:r>
          </w:p>
        </w:tc>
      </w:tr>
      <w:tr w14:paraId="3354179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5" w:type="dxa"/>
            <w:tcBorders>
              <w:tl2br w:val="nil"/>
              <w:tr2bl w:val="nil"/>
            </w:tcBorders>
            <w:vAlign w:val="center"/>
          </w:tcPr>
          <w:p w14:paraId="578A1EE7">
            <w:pPr>
              <w:shd w:val="clear" w:color="auto" w:fill="FFFFFF"/>
              <w:spacing w:line="360" w:lineRule="auto"/>
              <w:ind w:firstLine="420" w:firstLineChars="200"/>
              <w:rPr>
                <w:rFonts w:eastAsia="仿宋"/>
                <w:color w:val="auto"/>
                <w:szCs w:val="21"/>
              </w:rPr>
            </w:pPr>
            <w:r>
              <w:rPr>
                <w:rFonts w:eastAsia="仿宋"/>
                <w:color w:val="auto"/>
                <w:szCs w:val="21"/>
              </w:rPr>
              <w:t>1.04</w:t>
            </w:r>
          </w:p>
        </w:tc>
        <w:tc>
          <w:tcPr>
            <w:tcW w:w="716" w:type="dxa"/>
            <w:tcBorders>
              <w:tl2br w:val="nil"/>
              <w:tr2bl w:val="nil"/>
            </w:tcBorders>
            <w:vAlign w:val="center"/>
          </w:tcPr>
          <w:p w14:paraId="337CEB1B">
            <w:pPr>
              <w:shd w:val="clear" w:color="auto" w:fill="FFFFFF"/>
              <w:spacing w:line="360" w:lineRule="auto"/>
              <w:jc w:val="center"/>
              <w:rPr>
                <w:rFonts w:eastAsia="仿宋"/>
                <w:color w:val="auto"/>
                <w:szCs w:val="21"/>
              </w:rPr>
            </w:pPr>
            <w:r>
              <w:rPr>
                <w:rFonts w:eastAsia="仿宋"/>
                <w:color w:val="auto"/>
                <w:szCs w:val="21"/>
              </w:rPr>
              <w:t>1.07</w:t>
            </w:r>
          </w:p>
        </w:tc>
        <w:tc>
          <w:tcPr>
            <w:tcW w:w="772" w:type="dxa"/>
            <w:tcBorders>
              <w:tl2br w:val="nil"/>
              <w:tr2bl w:val="nil"/>
            </w:tcBorders>
            <w:vAlign w:val="center"/>
          </w:tcPr>
          <w:p w14:paraId="1D6348F2">
            <w:pPr>
              <w:shd w:val="clear" w:color="auto" w:fill="FFFFFF"/>
              <w:spacing w:line="360" w:lineRule="auto"/>
              <w:jc w:val="center"/>
              <w:rPr>
                <w:rFonts w:eastAsia="仿宋"/>
                <w:color w:val="auto"/>
                <w:szCs w:val="21"/>
              </w:rPr>
            </w:pPr>
            <w:r>
              <w:rPr>
                <w:rFonts w:eastAsia="仿宋"/>
                <w:color w:val="auto"/>
                <w:szCs w:val="21"/>
              </w:rPr>
              <w:t>1.06</w:t>
            </w:r>
          </w:p>
        </w:tc>
        <w:tc>
          <w:tcPr>
            <w:tcW w:w="772" w:type="dxa"/>
            <w:tcBorders>
              <w:tl2br w:val="nil"/>
              <w:tr2bl w:val="nil"/>
            </w:tcBorders>
            <w:vAlign w:val="center"/>
          </w:tcPr>
          <w:p w14:paraId="4637309E">
            <w:pPr>
              <w:shd w:val="clear" w:color="auto" w:fill="FFFFFF"/>
              <w:spacing w:line="360" w:lineRule="auto"/>
              <w:jc w:val="center"/>
              <w:rPr>
                <w:rFonts w:eastAsia="仿宋"/>
                <w:color w:val="auto"/>
                <w:szCs w:val="21"/>
              </w:rPr>
            </w:pPr>
            <w:r>
              <w:rPr>
                <w:rFonts w:eastAsia="仿宋"/>
                <w:color w:val="auto"/>
                <w:szCs w:val="21"/>
              </w:rPr>
              <w:t>1.07</w:t>
            </w:r>
          </w:p>
        </w:tc>
        <w:tc>
          <w:tcPr>
            <w:tcW w:w="772" w:type="dxa"/>
            <w:tcBorders>
              <w:tl2br w:val="nil"/>
              <w:tr2bl w:val="nil"/>
            </w:tcBorders>
            <w:vAlign w:val="center"/>
          </w:tcPr>
          <w:p w14:paraId="22689A9F">
            <w:pPr>
              <w:shd w:val="clear" w:color="auto" w:fill="FFFFFF"/>
              <w:spacing w:line="360" w:lineRule="auto"/>
              <w:jc w:val="center"/>
              <w:rPr>
                <w:rFonts w:eastAsia="仿宋"/>
                <w:color w:val="auto"/>
                <w:szCs w:val="21"/>
              </w:rPr>
            </w:pPr>
            <w:r>
              <w:rPr>
                <w:rFonts w:eastAsia="仿宋"/>
                <w:color w:val="auto"/>
                <w:szCs w:val="21"/>
              </w:rPr>
              <w:t>1.05</w:t>
            </w:r>
          </w:p>
        </w:tc>
        <w:tc>
          <w:tcPr>
            <w:tcW w:w="772" w:type="dxa"/>
            <w:tcBorders>
              <w:tl2br w:val="nil"/>
              <w:tr2bl w:val="nil"/>
            </w:tcBorders>
            <w:vAlign w:val="center"/>
          </w:tcPr>
          <w:p w14:paraId="10CCEE55">
            <w:pPr>
              <w:shd w:val="clear" w:color="auto" w:fill="FFFFFF"/>
              <w:spacing w:line="360" w:lineRule="auto"/>
              <w:jc w:val="center"/>
              <w:rPr>
                <w:rFonts w:eastAsia="仿宋"/>
                <w:color w:val="auto"/>
                <w:szCs w:val="21"/>
              </w:rPr>
            </w:pPr>
            <w:r>
              <w:rPr>
                <w:rFonts w:eastAsia="仿宋"/>
                <w:color w:val="auto"/>
                <w:szCs w:val="21"/>
              </w:rPr>
              <w:t>1.05</w:t>
            </w:r>
          </w:p>
        </w:tc>
        <w:tc>
          <w:tcPr>
            <w:tcW w:w="775" w:type="dxa"/>
            <w:tcBorders>
              <w:tl2br w:val="nil"/>
              <w:tr2bl w:val="nil"/>
            </w:tcBorders>
            <w:vAlign w:val="center"/>
          </w:tcPr>
          <w:p w14:paraId="4AE1672E">
            <w:pPr>
              <w:shd w:val="clear" w:color="auto" w:fill="FFFFFF"/>
              <w:spacing w:line="360" w:lineRule="auto"/>
              <w:jc w:val="center"/>
              <w:rPr>
                <w:rFonts w:eastAsia="仿宋"/>
                <w:color w:val="auto"/>
                <w:szCs w:val="21"/>
              </w:rPr>
            </w:pPr>
            <w:r>
              <w:rPr>
                <w:rFonts w:eastAsia="仿宋"/>
                <w:color w:val="auto"/>
                <w:szCs w:val="21"/>
              </w:rPr>
              <w:t>0.96</w:t>
            </w:r>
          </w:p>
        </w:tc>
        <w:tc>
          <w:tcPr>
            <w:tcW w:w="1637" w:type="dxa"/>
            <w:tcBorders>
              <w:tl2br w:val="nil"/>
              <w:tr2bl w:val="nil"/>
            </w:tcBorders>
            <w:vAlign w:val="center"/>
          </w:tcPr>
          <w:p w14:paraId="4AD4D7E0">
            <w:pPr>
              <w:shd w:val="clear" w:color="auto" w:fill="FFFFFF"/>
              <w:spacing w:line="360" w:lineRule="auto"/>
              <w:ind w:firstLine="420" w:firstLineChars="200"/>
              <w:rPr>
                <w:rFonts w:eastAsia="仿宋"/>
                <w:color w:val="auto"/>
                <w:szCs w:val="21"/>
              </w:rPr>
            </w:pPr>
            <w:r>
              <w:rPr>
                <w:rFonts w:eastAsia="仿宋"/>
                <w:color w:val="auto"/>
                <w:szCs w:val="21"/>
              </w:rPr>
              <w:t>1.04</w:t>
            </w:r>
          </w:p>
        </w:tc>
        <w:tc>
          <w:tcPr>
            <w:tcW w:w="1260" w:type="dxa"/>
            <w:tcBorders>
              <w:tl2br w:val="nil"/>
              <w:tr2bl w:val="nil"/>
            </w:tcBorders>
            <w:vAlign w:val="center"/>
          </w:tcPr>
          <w:p w14:paraId="41DC6F03">
            <w:pPr>
              <w:shd w:val="clear" w:color="auto" w:fill="FFFFFF"/>
              <w:spacing w:line="360" w:lineRule="auto"/>
              <w:jc w:val="center"/>
              <w:rPr>
                <w:rFonts w:eastAsia="仿宋"/>
                <w:color w:val="auto"/>
                <w:szCs w:val="21"/>
              </w:rPr>
            </w:pPr>
            <w:r>
              <w:rPr>
                <w:rFonts w:eastAsia="仿宋"/>
                <w:color w:val="auto"/>
                <w:szCs w:val="21"/>
              </w:rPr>
              <w:t>3.8</w:t>
            </w:r>
          </w:p>
        </w:tc>
      </w:tr>
      <w:tr w14:paraId="3732E3C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85" w:type="dxa"/>
            <w:tcBorders>
              <w:tl2br w:val="nil"/>
              <w:tr2bl w:val="nil"/>
            </w:tcBorders>
            <w:vAlign w:val="center"/>
          </w:tcPr>
          <w:p w14:paraId="4E9DDA06">
            <w:pPr>
              <w:shd w:val="clear" w:color="auto" w:fill="FFFFFF"/>
              <w:spacing w:line="360" w:lineRule="auto"/>
              <w:ind w:firstLine="420" w:firstLineChars="200"/>
              <w:rPr>
                <w:rFonts w:eastAsia="仿宋"/>
                <w:color w:val="auto"/>
                <w:szCs w:val="21"/>
              </w:rPr>
            </w:pPr>
            <w:r>
              <w:rPr>
                <w:rFonts w:eastAsia="仿宋"/>
                <w:color w:val="auto"/>
                <w:szCs w:val="21"/>
              </w:rPr>
              <w:t>2.07</w:t>
            </w:r>
          </w:p>
        </w:tc>
        <w:tc>
          <w:tcPr>
            <w:tcW w:w="716" w:type="dxa"/>
            <w:tcBorders>
              <w:tl2br w:val="nil"/>
              <w:tr2bl w:val="nil"/>
            </w:tcBorders>
            <w:vAlign w:val="center"/>
          </w:tcPr>
          <w:p w14:paraId="0B631F50">
            <w:pPr>
              <w:shd w:val="clear" w:color="auto" w:fill="FFFFFF"/>
              <w:spacing w:line="360" w:lineRule="auto"/>
              <w:jc w:val="center"/>
              <w:rPr>
                <w:rFonts w:eastAsia="仿宋"/>
                <w:color w:val="auto"/>
                <w:szCs w:val="21"/>
              </w:rPr>
            </w:pPr>
            <w:r>
              <w:rPr>
                <w:rFonts w:eastAsia="仿宋"/>
                <w:color w:val="auto"/>
                <w:szCs w:val="21"/>
              </w:rPr>
              <w:t>2.06</w:t>
            </w:r>
          </w:p>
        </w:tc>
        <w:tc>
          <w:tcPr>
            <w:tcW w:w="772" w:type="dxa"/>
            <w:tcBorders>
              <w:tl2br w:val="nil"/>
              <w:tr2bl w:val="nil"/>
            </w:tcBorders>
            <w:vAlign w:val="center"/>
          </w:tcPr>
          <w:p w14:paraId="3C3BAFE3">
            <w:pPr>
              <w:shd w:val="clear" w:color="auto" w:fill="FFFFFF"/>
              <w:spacing w:line="360" w:lineRule="auto"/>
              <w:jc w:val="center"/>
              <w:rPr>
                <w:rFonts w:eastAsia="仿宋"/>
                <w:color w:val="auto"/>
                <w:szCs w:val="21"/>
              </w:rPr>
            </w:pPr>
            <w:r>
              <w:rPr>
                <w:rFonts w:eastAsia="仿宋"/>
                <w:color w:val="auto"/>
                <w:szCs w:val="21"/>
              </w:rPr>
              <w:t>1.96</w:t>
            </w:r>
          </w:p>
        </w:tc>
        <w:tc>
          <w:tcPr>
            <w:tcW w:w="772" w:type="dxa"/>
            <w:tcBorders>
              <w:tl2br w:val="nil"/>
              <w:tr2bl w:val="nil"/>
            </w:tcBorders>
            <w:vAlign w:val="center"/>
          </w:tcPr>
          <w:p w14:paraId="6C0B16B4">
            <w:pPr>
              <w:shd w:val="clear" w:color="auto" w:fill="FFFFFF"/>
              <w:spacing w:line="360" w:lineRule="auto"/>
              <w:jc w:val="center"/>
              <w:rPr>
                <w:rFonts w:eastAsia="仿宋"/>
                <w:color w:val="auto"/>
                <w:szCs w:val="21"/>
              </w:rPr>
            </w:pPr>
            <w:r>
              <w:rPr>
                <w:rFonts w:eastAsia="仿宋"/>
                <w:color w:val="auto"/>
                <w:szCs w:val="21"/>
              </w:rPr>
              <w:t>2.12</w:t>
            </w:r>
          </w:p>
        </w:tc>
        <w:tc>
          <w:tcPr>
            <w:tcW w:w="772" w:type="dxa"/>
            <w:tcBorders>
              <w:tl2br w:val="nil"/>
              <w:tr2bl w:val="nil"/>
            </w:tcBorders>
            <w:vAlign w:val="center"/>
          </w:tcPr>
          <w:p w14:paraId="373DB76E">
            <w:pPr>
              <w:shd w:val="clear" w:color="auto" w:fill="FFFFFF"/>
              <w:spacing w:line="360" w:lineRule="auto"/>
              <w:jc w:val="center"/>
              <w:rPr>
                <w:rFonts w:eastAsia="仿宋"/>
                <w:color w:val="auto"/>
                <w:szCs w:val="21"/>
              </w:rPr>
            </w:pPr>
            <w:r>
              <w:rPr>
                <w:rFonts w:eastAsia="仿宋"/>
                <w:color w:val="auto"/>
                <w:szCs w:val="21"/>
              </w:rPr>
              <w:t>2.10</w:t>
            </w:r>
          </w:p>
        </w:tc>
        <w:tc>
          <w:tcPr>
            <w:tcW w:w="772" w:type="dxa"/>
            <w:tcBorders>
              <w:tl2br w:val="nil"/>
              <w:tr2bl w:val="nil"/>
            </w:tcBorders>
            <w:vAlign w:val="center"/>
          </w:tcPr>
          <w:p w14:paraId="70185A93">
            <w:pPr>
              <w:shd w:val="clear" w:color="auto" w:fill="FFFFFF"/>
              <w:spacing w:line="360" w:lineRule="auto"/>
              <w:jc w:val="center"/>
              <w:rPr>
                <w:rFonts w:eastAsia="仿宋"/>
                <w:color w:val="auto"/>
                <w:szCs w:val="21"/>
              </w:rPr>
            </w:pPr>
            <w:r>
              <w:rPr>
                <w:rFonts w:eastAsia="仿宋"/>
                <w:color w:val="auto"/>
                <w:szCs w:val="21"/>
              </w:rPr>
              <w:t>2.03</w:t>
            </w:r>
          </w:p>
        </w:tc>
        <w:tc>
          <w:tcPr>
            <w:tcW w:w="775" w:type="dxa"/>
            <w:tcBorders>
              <w:tl2br w:val="nil"/>
              <w:tr2bl w:val="nil"/>
            </w:tcBorders>
            <w:vAlign w:val="center"/>
          </w:tcPr>
          <w:p w14:paraId="5711E362">
            <w:pPr>
              <w:shd w:val="clear" w:color="auto" w:fill="FFFFFF"/>
              <w:spacing w:line="360" w:lineRule="auto"/>
              <w:jc w:val="center"/>
              <w:rPr>
                <w:rFonts w:eastAsia="仿宋"/>
                <w:color w:val="auto"/>
                <w:szCs w:val="21"/>
              </w:rPr>
            </w:pPr>
            <w:r>
              <w:rPr>
                <w:rFonts w:eastAsia="仿宋"/>
                <w:color w:val="auto"/>
                <w:szCs w:val="21"/>
              </w:rPr>
              <w:t>1.86</w:t>
            </w:r>
          </w:p>
        </w:tc>
        <w:tc>
          <w:tcPr>
            <w:tcW w:w="1637" w:type="dxa"/>
            <w:tcBorders>
              <w:tl2br w:val="nil"/>
              <w:tr2bl w:val="nil"/>
            </w:tcBorders>
            <w:vAlign w:val="center"/>
          </w:tcPr>
          <w:p w14:paraId="5F1CA2A1">
            <w:pPr>
              <w:shd w:val="clear" w:color="auto" w:fill="FFFFFF"/>
              <w:spacing w:line="360" w:lineRule="auto"/>
              <w:ind w:firstLine="420" w:firstLineChars="200"/>
              <w:rPr>
                <w:rFonts w:eastAsia="仿宋"/>
                <w:color w:val="auto"/>
                <w:szCs w:val="21"/>
              </w:rPr>
            </w:pPr>
            <w:r>
              <w:rPr>
                <w:rFonts w:eastAsia="仿宋"/>
                <w:color w:val="auto"/>
                <w:szCs w:val="21"/>
              </w:rPr>
              <w:t>2.02</w:t>
            </w:r>
          </w:p>
        </w:tc>
        <w:tc>
          <w:tcPr>
            <w:tcW w:w="1260" w:type="dxa"/>
            <w:tcBorders>
              <w:tl2br w:val="nil"/>
              <w:tr2bl w:val="nil"/>
            </w:tcBorders>
            <w:vAlign w:val="center"/>
          </w:tcPr>
          <w:p w14:paraId="3E680729">
            <w:pPr>
              <w:shd w:val="clear" w:color="auto" w:fill="FFFFFF"/>
              <w:spacing w:line="360" w:lineRule="auto"/>
              <w:jc w:val="center"/>
              <w:rPr>
                <w:rFonts w:eastAsia="仿宋"/>
                <w:color w:val="auto"/>
                <w:szCs w:val="21"/>
              </w:rPr>
            </w:pPr>
            <w:r>
              <w:rPr>
                <w:rFonts w:eastAsia="仿宋"/>
                <w:color w:val="auto"/>
                <w:szCs w:val="21"/>
              </w:rPr>
              <w:t>4.7</w:t>
            </w:r>
          </w:p>
        </w:tc>
      </w:tr>
      <w:bookmarkEnd w:id="2"/>
    </w:tbl>
    <w:p w14:paraId="10A4095B">
      <w:pPr>
        <w:spacing w:before="156" w:beforeLines="50" w:line="500" w:lineRule="exact"/>
        <w:ind w:firstLine="560" w:firstLineChars="200"/>
        <w:rPr>
          <w:rFonts w:eastAsia="仿宋"/>
          <w:color w:val="auto"/>
          <w:sz w:val="28"/>
          <w:szCs w:val="28"/>
        </w:rPr>
      </w:pPr>
      <w:r>
        <w:rPr>
          <w:rFonts w:hint="eastAsia" w:eastAsia="黑体"/>
          <w:color w:val="auto"/>
          <w:sz w:val="28"/>
          <w:szCs w:val="28"/>
          <w:lang w:val="en-US" w:eastAsia="zh-CN"/>
        </w:rPr>
        <w:t>6.10</w:t>
      </w:r>
      <w:r>
        <w:rPr>
          <w:rFonts w:hint="eastAsia" w:eastAsia="黑体"/>
          <w:color w:val="auto"/>
          <w:sz w:val="28"/>
          <w:szCs w:val="28"/>
        </w:rPr>
        <w:t>稳定性</w:t>
      </w:r>
      <w:r>
        <w:rPr>
          <w:rFonts w:eastAsia="黑体"/>
          <w:color w:val="auto"/>
          <w:sz w:val="28"/>
          <w:szCs w:val="28"/>
        </w:rPr>
        <w:t>试验</w:t>
      </w:r>
    </w:p>
    <w:p w14:paraId="2372E4A6">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eastAsia="仿宋"/>
          <w:color w:val="auto"/>
          <w:sz w:val="28"/>
          <w:szCs w:val="28"/>
        </w:rPr>
      </w:pPr>
      <w:r>
        <w:rPr>
          <w:rFonts w:eastAsia="仿宋"/>
          <w:color w:val="auto"/>
          <w:sz w:val="28"/>
          <w:szCs w:val="28"/>
        </w:rPr>
        <w:t>取3</w:t>
      </w:r>
      <w:r>
        <w:rPr>
          <w:rFonts w:hint="eastAsia" w:eastAsia="仿宋"/>
          <w:color w:val="auto"/>
          <w:sz w:val="28"/>
          <w:szCs w:val="28"/>
        </w:rPr>
        <w:t>0</w:t>
      </w:r>
      <w:r>
        <w:rPr>
          <w:rFonts w:eastAsia="仿宋"/>
          <w:color w:val="auto"/>
          <w:sz w:val="28"/>
          <w:szCs w:val="28"/>
        </w:rPr>
        <w:t>只</w:t>
      </w:r>
      <w:r>
        <w:rPr>
          <w:rFonts w:hint="eastAsia" w:eastAsia="仿宋"/>
          <w:color w:val="auto"/>
          <w:sz w:val="28"/>
          <w:szCs w:val="28"/>
        </w:rPr>
        <w:t>装有</w:t>
      </w:r>
      <w:r>
        <w:rPr>
          <w:rFonts w:eastAsia="仿宋"/>
          <w:color w:val="auto"/>
          <w:sz w:val="28"/>
          <w:szCs w:val="28"/>
        </w:rPr>
        <w:t>空白</w:t>
      </w:r>
      <w:r>
        <w:rPr>
          <w:rFonts w:hint="eastAsia" w:eastAsia="仿宋"/>
          <w:color w:val="auto"/>
          <w:sz w:val="28"/>
          <w:szCs w:val="28"/>
        </w:rPr>
        <w:t>滤纸</w:t>
      </w:r>
      <w:r>
        <w:rPr>
          <w:rFonts w:eastAsia="仿宋"/>
          <w:color w:val="auto"/>
          <w:sz w:val="28"/>
          <w:szCs w:val="28"/>
        </w:rPr>
        <w:t>的具塞比色管分为</w:t>
      </w:r>
      <w:r>
        <w:rPr>
          <w:rFonts w:hint="eastAsia" w:eastAsia="仿宋"/>
          <w:color w:val="auto"/>
          <w:sz w:val="28"/>
          <w:szCs w:val="28"/>
        </w:rPr>
        <w:t>5</w:t>
      </w:r>
      <w:r>
        <w:rPr>
          <w:rFonts w:eastAsia="仿宋"/>
          <w:color w:val="auto"/>
          <w:sz w:val="28"/>
          <w:szCs w:val="28"/>
        </w:rPr>
        <w:t>组，每组</w:t>
      </w:r>
      <w:r>
        <w:rPr>
          <w:rFonts w:hint="eastAsia" w:eastAsia="仿宋"/>
          <w:color w:val="auto"/>
          <w:sz w:val="28"/>
          <w:szCs w:val="28"/>
        </w:rPr>
        <w:t>6</w:t>
      </w:r>
      <w:r>
        <w:rPr>
          <w:rFonts w:eastAsia="仿宋"/>
          <w:color w:val="auto"/>
          <w:sz w:val="28"/>
          <w:szCs w:val="28"/>
        </w:rPr>
        <w:t>只，每张添加5.18 μg的草铵膦，于10 mL具塞试管中室温保存，分别于第1、3天、5天、7天、14天按1.3分析，按式</w:t>
      </w:r>
      <w:r>
        <w:rPr>
          <w:rFonts w:hint="eastAsia" w:eastAsia="仿宋"/>
          <w:color w:val="auto"/>
          <w:sz w:val="28"/>
          <w:szCs w:val="28"/>
          <w:lang w:eastAsia="zh-CN"/>
        </w:rPr>
        <w:t>（</w:t>
      </w:r>
      <w:r>
        <w:rPr>
          <w:rFonts w:hint="eastAsia" w:eastAsia="仿宋"/>
          <w:color w:val="auto"/>
          <w:sz w:val="28"/>
          <w:szCs w:val="28"/>
          <w:lang w:val="en-US" w:eastAsia="zh-CN"/>
        </w:rPr>
        <w:t>5</w:t>
      </w:r>
      <w:r>
        <w:rPr>
          <w:rFonts w:hint="eastAsia" w:eastAsia="仿宋"/>
          <w:color w:val="auto"/>
          <w:sz w:val="28"/>
          <w:szCs w:val="28"/>
          <w:lang w:eastAsia="zh-CN"/>
        </w:rPr>
        <w:t>）</w:t>
      </w:r>
      <w:r>
        <w:rPr>
          <w:rFonts w:eastAsia="仿宋"/>
          <w:color w:val="auto"/>
          <w:sz w:val="28"/>
          <w:szCs w:val="28"/>
        </w:rPr>
        <w:t>分别计算样品下降率。</w:t>
      </w:r>
    </w:p>
    <w:p w14:paraId="5D922F8A">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left"/>
        <w:textAlignment w:val="auto"/>
        <w:rPr>
          <w:rFonts w:hint="eastAsia" w:hAnsi="Cambria Math" w:cs="Times New Roman"/>
          <w:i w:val="0"/>
          <w:color w:val="auto"/>
          <w:kern w:val="2"/>
          <w:sz w:val="28"/>
          <w:szCs w:val="28"/>
          <w:lang w:val="en-US" w:eastAsia="zh-CN" w:bidi="ar-SA"/>
        </w:rPr>
      </w:pPr>
      <w:r>
        <w:rPr>
          <w:rFonts w:hint="eastAsia" w:hAnsi="Cambria Math" w:eastAsia="仿宋" w:cs="Times New Roman"/>
          <w:i w:val="0"/>
          <w:color w:val="auto"/>
          <w:kern w:val="2"/>
          <w:sz w:val="28"/>
          <w:szCs w:val="28"/>
          <w:lang w:val="en-US" w:eastAsia="zh-CN" w:bidi="ar-SA"/>
        </w:rPr>
        <w:t xml:space="preserve">                                     </w:t>
      </w:r>
      <m:oMath>
        <m:r>
          <m:rPr>
            <m:sty m:val="p"/>
          </m:rPr>
          <w:rPr>
            <w:rFonts w:hint="eastAsia" w:ascii="Cambria Math" w:hAnsi="Cambria Math" w:eastAsia="仿宋" w:cs="Times New Roman"/>
            <w:color w:val="auto"/>
            <w:kern w:val="2"/>
            <w:sz w:val="28"/>
            <w:szCs w:val="28"/>
            <w:lang w:val="en-US" w:eastAsia="zh-CN" w:bidi="ar-SA"/>
          </w:rPr>
          <m:t>R</m:t>
        </m:r>
        <m:r>
          <m:rPr>
            <m:sty m:val="p"/>
          </m:rPr>
          <w:rPr>
            <w:rFonts w:hint="default" w:ascii="Cambria Math" w:hAnsi="Cambria Math" w:eastAsia="仿宋" w:cs="Times New Roman"/>
            <w:color w:val="auto"/>
            <w:kern w:val="2"/>
            <w:sz w:val="28"/>
            <w:szCs w:val="28"/>
            <w:lang w:val="en-US" w:eastAsia="zh-CN" w:bidi="ar-SA"/>
          </w:rPr>
          <m:t>=</m:t>
        </m:r>
        <m:f>
          <m:fPr>
            <m:ctrlPr>
              <w:rPr>
                <w:rFonts w:hint="default" w:ascii="Cambria Math" w:hAnsi="Cambria Math" w:eastAsia="仿宋" w:cs="Times New Roman"/>
                <w:color w:val="auto"/>
                <w:kern w:val="2"/>
                <w:sz w:val="28"/>
                <w:szCs w:val="28"/>
                <w:lang w:val="en-US" w:eastAsia="zh-CN" w:bidi="ar-SA"/>
              </w:rPr>
            </m:ctrlPr>
          </m:fPr>
          <m:num>
            <m:sSub>
              <m:sSubPr>
                <m:ctrlPr>
                  <w:rPr>
                    <w:rFonts w:hint="default" w:ascii="Cambria Math" w:hAnsi="Cambria Math" w:eastAsia="仿宋" w:cs="Times New Roman"/>
                    <w:color w:val="auto"/>
                    <w:kern w:val="2"/>
                    <w:sz w:val="28"/>
                    <w:szCs w:val="28"/>
                    <w:lang w:val="en-US" w:eastAsia="zh-CN" w:bidi="ar-SA"/>
                  </w:rPr>
                </m:ctrlPr>
              </m:sSubPr>
              <m:e>
                <m:r>
                  <m:rPr>
                    <m:sty m:val="p"/>
                  </m:rPr>
                  <w:rPr>
                    <w:rFonts w:hint="eastAsia" w:ascii="Cambria Math" w:hAnsi="Cambria Math" w:eastAsia="仿宋" w:cs="Times New Roman"/>
                    <w:color w:val="auto"/>
                    <w:kern w:val="2"/>
                    <w:sz w:val="28"/>
                    <w:szCs w:val="28"/>
                    <w:lang w:val="en-US" w:eastAsia="zh-CN" w:bidi="ar-SA"/>
                  </w:rPr>
                  <m:t>m</m:t>
                </m:r>
                <m:ctrlPr>
                  <w:rPr>
                    <w:rFonts w:hint="default" w:ascii="Cambria Math" w:hAnsi="Cambria Math" w:eastAsia="仿宋" w:cs="Times New Roman"/>
                    <w:color w:val="auto"/>
                    <w:kern w:val="2"/>
                    <w:sz w:val="28"/>
                    <w:szCs w:val="28"/>
                    <w:lang w:val="en-US" w:eastAsia="zh-CN" w:bidi="ar-SA"/>
                  </w:rPr>
                </m:ctrlPr>
              </m:e>
              <m:sub>
                <m:r>
                  <m:rPr>
                    <m:sty m:val="p"/>
                  </m:rPr>
                  <w:rPr>
                    <w:rFonts w:hint="default" w:ascii="Cambria Math" w:hAnsi="Cambria Math" w:eastAsia="仿宋" w:cs="Times New Roman"/>
                    <w:color w:val="auto"/>
                    <w:kern w:val="2"/>
                    <w:sz w:val="28"/>
                    <w:szCs w:val="28"/>
                    <w:lang w:val="en-US" w:eastAsia="zh-CN" w:bidi="ar-SA"/>
                  </w:rPr>
                  <m:t>1</m:t>
                </m:r>
                <m:ctrlPr>
                  <w:rPr>
                    <w:rFonts w:hint="default" w:ascii="Cambria Math" w:hAnsi="Cambria Math" w:eastAsia="仿宋" w:cs="Times New Roman"/>
                    <w:color w:val="auto"/>
                    <w:kern w:val="2"/>
                    <w:sz w:val="28"/>
                    <w:szCs w:val="28"/>
                    <w:lang w:val="en-US" w:eastAsia="zh-CN" w:bidi="ar-SA"/>
                  </w:rPr>
                </m:ctrlPr>
              </m:sub>
            </m:sSub>
            <m:r>
              <m:rPr>
                <m:sty m:val="p"/>
              </m:rPr>
              <w:rPr>
                <w:rFonts w:hint="default" w:ascii="Cambria Math" w:hAnsi="Cambria Math" w:eastAsia="仿宋" w:cs="Times New Roman"/>
                <w:color w:val="auto"/>
                <w:kern w:val="2"/>
                <w:sz w:val="28"/>
                <w:szCs w:val="28"/>
                <w:lang w:val="en-US" w:eastAsia="zh-CN" w:bidi="ar-SA"/>
              </w:rPr>
              <m:t>−</m:t>
            </m:r>
            <m:sSub>
              <m:sSubPr>
                <m:ctrlPr>
                  <w:rPr>
                    <w:rFonts w:hint="default" w:ascii="Cambria Math" w:hAnsi="Cambria Math" w:eastAsia="仿宋" w:cs="Times New Roman"/>
                    <w:color w:val="auto"/>
                    <w:kern w:val="2"/>
                    <w:sz w:val="28"/>
                    <w:szCs w:val="28"/>
                    <w:lang w:val="en-US" w:eastAsia="zh-CN" w:bidi="ar-SA"/>
                  </w:rPr>
                </m:ctrlPr>
              </m:sSubPr>
              <m:e>
                <m:r>
                  <m:rPr>
                    <m:sty m:val="p"/>
                  </m:rPr>
                  <w:rPr>
                    <w:rFonts w:hint="default" w:ascii="Cambria Math" w:hAnsi="Cambria Math" w:eastAsia="仿宋" w:cs="Times New Roman"/>
                    <w:color w:val="auto"/>
                    <w:kern w:val="2"/>
                    <w:sz w:val="28"/>
                    <w:szCs w:val="28"/>
                    <w:lang w:val="en-US" w:eastAsia="zh-CN" w:bidi="ar-SA"/>
                  </w:rPr>
                  <m:t>m</m:t>
                </m:r>
                <m:ctrlPr>
                  <w:rPr>
                    <w:rFonts w:hint="default" w:ascii="Cambria Math" w:hAnsi="Cambria Math" w:eastAsia="仿宋" w:cs="Times New Roman"/>
                    <w:color w:val="auto"/>
                    <w:kern w:val="2"/>
                    <w:sz w:val="28"/>
                    <w:szCs w:val="28"/>
                    <w:lang w:val="en-US" w:eastAsia="zh-CN" w:bidi="ar-SA"/>
                  </w:rPr>
                </m:ctrlPr>
              </m:e>
              <m:sub>
                <m:r>
                  <m:rPr>
                    <m:sty m:val="p"/>
                  </m:rPr>
                  <w:rPr>
                    <w:rFonts w:hint="default" w:ascii="Cambria Math" w:hAnsi="Cambria Math" w:eastAsia="仿宋" w:cs="Times New Roman"/>
                    <w:color w:val="auto"/>
                    <w:kern w:val="2"/>
                    <w:sz w:val="28"/>
                    <w:szCs w:val="28"/>
                    <w:lang w:val="en-US" w:eastAsia="zh-CN" w:bidi="ar-SA"/>
                  </w:rPr>
                  <m:t>2</m:t>
                </m:r>
                <m:ctrlPr>
                  <w:rPr>
                    <w:rFonts w:hint="default" w:ascii="Cambria Math" w:hAnsi="Cambria Math" w:eastAsia="仿宋" w:cs="Times New Roman"/>
                    <w:color w:val="auto"/>
                    <w:kern w:val="2"/>
                    <w:sz w:val="28"/>
                    <w:szCs w:val="28"/>
                    <w:lang w:val="en-US" w:eastAsia="zh-CN" w:bidi="ar-SA"/>
                  </w:rPr>
                </m:ctrlPr>
              </m:sub>
            </m:sSub>
            <m:ctrlPr>
              <w:rPr>
                <w:rFonts w:hint="default" w:ascii="Cambria Math" w:hAnsi="Cambria Math" w:eastAsia="仿宋" w:cs="Times New Roman"/>
                <w:color w:val="auto"/>
                <w:kern w:val="2"/>
                <w:sz w:val="28"/>
                <w:szCs w:val="28"/>
                <w:lang w:val="en-US" w:eastAsia="zh-CN" w:bidi="ar-SA"/>
              </w:rPr>
            </m:ctrlPr>
          </m:num>
          <m:den>
            <m:sSub>
              <m:sSubPr>
                <m:ctrlPr>
                  <w:rPr>
                    <w:rFonts w:hint="default" w:ascii="Cambria Math" w:hAnsi="Cambria Math" w:eastAsia="仿宋" w:cs="Times New Roman"/>
                    <w:color w:val="auto"/>
                    <w:kern w:val="2"/>
                    <w:sz w:val="28"/>
                    <w:szCs w:val="28"/>
                    <w:lang w:val="en-US" w:eastAsia="zh-CN" w:bidi="ar-SA"/>
                  </w:rPr>
                </m:ctrlPr>
              </m:sSubPr>
              <m:e>
                <m:r>
                  <m:rPr>
                    <m:sty m:val="p"/>
                  </m:rPr>
                  <w:rPr>
                    <w:rFonts w:hint="default" w:ascii="Cambria Math" w:hAnsi="Cambria Math" w:eastAsia="仿宋" w:cs="Times New Roman"/>
                    <w:color w:val="auto"/>
                    <w:kern w:val="2"/>
                    <w:sz w:val="28"/>
                    <w:szCs w:val="28"/>
                    <w:lang w:val="en-US" w:eastAsia="zh-CN" w:bidi="ar-SA"/>
                  </w:rPr>
                  <m:t>m</m:t>
                </m:r>
                <m:ctrlPr>
                  <w:rPr>
                    <w:rFonts w:hint="default" w:ascii="Cambria Math" w:hAnsi="Cambria Math" w:eastAsia="仿宋" w:cs="Times New Roman"/>
                    <w:color w:val="auto"/>
                    <w:kern w:val="2"/>
                    <w:sz w:val="28"/>
                    <w:szCs w:val="28"/>
                    <w:lang w:val="en-US" w:eastAsia="zh-CN" w:bidi="ar-SA"/>
                  </w:rPr>
                </m:ctrlPr>
              </m:e>
              <m:sub>
                <m:r>
                  <m:rPr>
                    <m:sty m:val="p"/>
                  </m:rPr>
                  <w:rPr>
                    <w:rFonts w:hint="default" w:ascii="Cambria Math" w:hAnsi="Cambria Math" w:eastAsia="仿宋" w:cs="Times New Roman"/>
                    <w:color w:val="auto"/>
                    <w:kern w:val="2"/>
                    <w:sz w:val="28"/>
                    <w:szCs w:val="28"/>
                    <w:lang w:val="en-US" w:eastAsia="zh-CN" w:bidi="ar-SA"/>
                  </w:rPr>
                  <m:t>1</m:t>
                </m:r>
                <m:ctrlPr>
                  <w:rPr>
                    <w:rFonts w:hint="default" w:ascii="Cambria Math" w:hAnsi="Cambria Math" w:eastAsia="仿宋" w:cs="Times New Roman"/>
                    <w:color w:val="auto"/>
                    <w:kern w:val="2"/>
                    <w:sz w:val="28"/>
                    <w:szCs w:val="28"/>
                    <w:lang w:val="en-US" w:eastAsia="zh-CN" w:bidi="ar-SA"/>
                  </w:rPr>
                </m:ctrlPr>
              </m:sub>
            </m:sSub>
            <m:ctrlPr>
              <w:rPr>
                <w:rFonts w:hint="default" w:ascii="Cambria Math" w:hAnsi="Cambria Math" w:eastAsia="仿宋" w:cs="Times New Roman"/>
                <w:color w:val="auto"/>
                <w:kern w:val="2"/>
                <w:sz w:val="28"/>
                <w:szCs w:val="28"/>
                <w:lang w:val="en-US" w:eastAsia="zh-CN" w:bidi="ar-SA"/>
              </w:rPr>
            </m:ctrlPr>
          </m:den>
        </m:f>
        <m:r>
          <m:rPr>
            <m:sty m:val="p"/>
          </m:rPr>
          <w:rPr>
            <w:rFonts w:ascii="Cambria Math" w:hAnsi="Cambria Math" w:cs="Times New Roman"/>
            <w:color w:val="auto"/>
            <w:kern w:val="2"/>
            <w:sz w:val="28"/>
            <w:szCs w:val="28"/>
            <w:lang w:val="en-US" w:bidi="ar-SA"/>
          </w:rPr>
          <m:t>×</m:t>
        </m:r>
        <m:r>
          <m:rPr>
            <m:sty m:val="p"/>
          </m:rPr>
          <w:rPr>
            <w:rFonts w:hint="default" w:ascii="Cambria Math" w:hAnsi="Cambria Math" w:cs="Times New Roman"/>
            <w:color w:val="auto"/>
            <w:kern w:val="2"/>
            <w:sz w:val="28"/>
            <w:szCs w:val="28"/>
            <w:lang w:val="en-US" w:eastAsia="zh-CN" w:bidi="ar-SA"/>
          </w:rPr>
          <m:t>100%</m:t>
        </m:r>
      </m:oMath>
      <w:r>
        <w:rPr>
          <w:rFonts w:hint="eastAsia" w:hAnsi="Cambria Math" w:cs="Times New Roman"/>
          <w:i w:val="0"/>
          <w:color w:val="auto"/>
          <w:kern w:val="2"/>
          <w:sz w:val="28"/>
          <w:szCs w:val="28"/>
          <w:lang w:val="en-US" w:eastAsia="zh-CN" w:bidi="ar-SA"/>
        </w:rPr>
        <w:t xml:space="preserve">                                  （5）</w:t>
      </w:r>
    </w:p>
    <w:p w14:paraId="5F29C519">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eastAsia" w:eastAsia="仿宋"/>
          <w:color w:val="auto"/>
          <w:sz w:val="28"/>
          <w:szCs w:val="28"/>
          <w:lang w:val="en-US" w:eastAsia="zh-CN"/>
        </w:rPr>
      </w:pPr>
      <w:r>
        <w:rPr>
          <w:rFonts w:hint="eastAsia" w:eastAsia="仿宋"/>
          <w:color w:val="auto"/>
          <w:sz w:val="28"/>
          <w:szCs w:val="28"/>
          <w:lang w:val="en-US" w:eastAsia="zh-CN"/>
        </w:rPr>
        <w:t>式中：</w:t>
      </w:r>
    </w:p>
    <w:p w14:paraId="05672867">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default" w:eastAsia="仿宋"/>
          <w:color w:val="auto"/>
          <w:sz w:val="28"/>
          <w:szCs w:val="28"/>
          <w:lang w:val="en-US" w:eastAsia="zh-CN"/>
        </w:rPr>
      </w:pPr>
      <w:r>
        <w:rPr>
          <w:rFonts w:hint="default" w:eastAsia="仿宋"/>
          <w:color w:val="auto"/>
          <w:sz w:val="28"/>
          <w:szCs w:val="28"/>
          <w:lang w:val="en-US" w:eastAsia="zh-CN"/>
        </w:rPr>
        <w:t>R：下降率，%;</w:t>
      </w:r>
    </w:p>
    <w:p w14:paraId="7FDB1DF6">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default" w:eastAsia="仿宋"/>
          <w:color w:val="auto"/>
          <w:sz w:val="28"/>
          <w:szCs w:val="28"/>
          <w:lang w:val="en-US" w:eastAsia="zh-CN"/>
        </w:rPr>
      </w:pPr>
      <w:r>
        <w:rPr>
          <w:rFonts w:hint="default" w:eastAsia="仿宋"/>
          <w:color w:val="auto"/>
          <w:sz w:val="28"/>
          <w:szCs w:val="28"/>
          <w:lang w:val="en-US" w:eastAsia="zh-CN"/>
        </w:rPr>
        <w:t>m</w:t>
      </w:r>
      <w:r>
        <w:rPr>
          <w:rFonts w:hint="default" w:eastAsia="仿宋"/>
          <w:color w:val="auto"/>
          <w:sz w:val="28"/>
          <w:szCs w:val="28"/>
          <w:vertAlign w:val="subscript"/>
          <w:lang w:val="en-US" w:eastAsia="zh-CN"/>
        </w:rPr>
        <w:t>1</w:t>
      </w:r>
      <w:r>
        <w:rPr>
          <w:rFonts w:hint="default" w:eastAsia="仿宋"/>
          <w:color w:val="auto"/>
          <w:sz w:val="28"/>
          <w:szCs w:val="28"/>
          <w:lang w:val="en-US" w:eastAsia="zh-CN"/>
        </w:rPr>
        <w:t>：当天的测定均值，单位为微克（µg）；</w:t>
      </w:r>
    </w:p>
    <w:p w14:paraId="0A13EFB0">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hint="default" w:eastAsia="仿宋"/>
          <w:color w:val="auto"/>
          <w:sz w:val="28"/>
          <w:szCs w:val="28"/>
          <w:lang w:val="en-US" w:eastAsia="zh-CN"/>
        </w:rPr>
      </w:pPr>
      <w:r>
        <w:rPr>
          <w:rFonts w:hint="default" w:eastAsia="仿宋"/>
          <w:color w:val="auto"/>
          <w:sz w:val="28"/>
          <w:szCs w:val="28"/>
          <w:lang w:val="en-US" w:eastAsia="zh-CN"/>
        </w:rPr>
        <w:t>m</w:t>
      </w:r>
      <w:r>
        <w:rPr>
          <w:rFonts w:hint="default" w:eastAsia="仿宋"/>
          <w:color w:val="auto"/>
          <w:sz w:val="28"/>
          <w:szCs w:val="28"/>
          <w:vertAlign w:val="subscript"/>
          <w:lang w:val="en-US" w:eastAsia="zh-CN"/>
        </w:rPr>
        <w:t>2</w:t>
      </w:r>
      <w:r>
        <w:rPr>
          <w:rFonts w:hint="default" w:eastAsia="仿宋"/>
          <w:color w:val="auto"/>
          <w:sz w:val="28"/>
          <w:szCs w:val="28"/>
          <w:lang w:val="en-US" w:eastAsia="zh-CN"/>
        </w:rPr>
        <w:t>：保存第N天的测定均值，单位为微克（µg）。</w:t>
      </w:r>
    </w:p>
    <w:p w14:paraId="3A562A47">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left"/>
        <w:textAlignment w:val="auto"/>
        <w:rPr>
          <w:rFonts w:eastAsia="仿宋"/>
          <w:color w:val="auto"/>
          <w:sz w:val="28"/>
          <w:szCs w:val="28"/>
        </w:rPr>
      </w:pPr>
      <w:r>
        <w:rPr>
          <w:rFonts w:eastAsia="仿宋"/>
          <w:color w:val="auto"/>
          <w:sz w:val="28"/>
          <w:szCs w:val="28"/>
        </w:rPr>
        <w:t>结果显示，与第1天结果比较，在常温条件下，14天内草铵膦样品的下降率低于10%，表明在常温下至少可保存14天。结果见表</w:t>
      </w:r>
      <w:r>
        <w:rPr>
          <w:rFonts w:hint="eastAsia" w:eastAsia="仿宋"/>
          <w:color w:val="auto"/>
          <w:sz w:val="28"/>
          <w:szCs w:val="28"/>
        </w:rPr>
        <w:t>1</w:t>
      </w:r>
      <w:r>
        <w:rPr>
          <w:rFonts w:hint="eastAsia" w:eastAsia="仿宋"/>
          <w:color w:val="auto"/>
          <w:sz w:val="28"/>
          <w:szCs w:val="28"/>
          <w:lang w:val="en-US" w:eastAsia="zh-CN"/>
        </w:rPr>
        <w:t>1</w:t>
      </w:r>
      <w:r>
        <w:rPr>
          <w:rFonts w:eastAsia="仿宋"/>
          <w:color w:val="auto"/>
          <w:sz w:val="28"/>
          <w:szCs w:val="28"/>
        </w:rPr>
        <w:t>。</w:t>
      </w:r>
    </w:p>
    <w:p w14:paraId="04ABEC0D">
      <w:pPr>
        <w:spacing w:before="156" w:beforeLines="50" w:line="460" w:lineRule="exact"/>
        <w:jc w:val="center"/>
        <w:rPr>
          <w:rFonts w:eastAsia="仿宋"/>
          <w:color w:val="auto"/>
          <w:szCs w:val="21"/>
        </w:rPr>
      </w:pPr>
      <w:r>
        <w:rPr>
          <w:rFonts w:eastAsia="仿宋"/>
          <w:color w:val="auto"/>
          <w:szCs w:val="21"/>
        </w:rPr>
        <w:t>表</w:t>
      </w:r>
      <w:r>
        <w:rPr>
          <w:rFonts w:hint="eastAsia" w:eastAsia="仿宋"/>
          <w:color w:val="auto"/>
          <w:szCs w:val="21"/>
        </w:rPr>
        <w:t>1</w:t>
      </w:r>
      <w:r>
        <w:rPr>
          <w:rFonts w:hint="eastAsia" w:eastAsia="仿宋"/>
          <w:color w:val="auto"/>
          <w:szCs w:val="21"/>
          <w:lang w:val="en-US" w:eastAsia="zh-CN"/>
        </w:rPr>
        <w:t>1</w:t>
      </w:r>
      <w:r>
        <w:rPr>
          <w:rFonts w:eastAsia="仿宋"/>
          <w:color w:val="auto"/>
          <w:szCs w:val="21"/>
        </w:rPr>
        <w:t xml:space="preserve"> 稳定性试验结果</w:t>
      </w:r>
    </w:p>
    <w:tbl>
      <w:tblPr>
        <w:tblStyle w:val="22"/>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3"/>
        <w:gridCol w:w="1488"/>
        <w:gridCol w:w="1560"/>
        <w:gridCol w:w="1918"/>
      </w:tblGrid>
      <w:tr w14:paraId="0F202CE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3" w:type="dxa"/>
            <w:tcBorders>
              <w:bottom w:val="single" w:color="auto" w:sz="12" w:space="0"/>
            </w:tcBorders>
          </w:tcPr>
          <w:p w14:paraId="2B73F93B">
            <w:pPr>
              <w:shd w:val="clear" w:color="auto" w:fill="FFFFFF"/>
              <w:spacing w:line="360" w:lineRule="auto"/>
              <w:jc w:val="center"/>
              <w:rPr>
                <w:color w:val="auto"/>
                <w:szCs w:val="21"/>
              </w:rPr>
            </w:pPr>
            <w:r>
              <w:rPr>
                <w:color w:val="auto"/>
                <w:szCs w:val="21"/>
              </w:rPr>
              <w:t>测定时间</w:t>
            </w:r>
          </w:p>
        </w:tc>
        <w:tc>
          <w:tcPr>
            <w:tcW w:w="1488" w:type="dxa"/>
            <w:tcBorders>
              <w:bottom w:val="single" w:color="auto" w:sz="12" w:space="0"/>
            </w:tcBorders>
          </w:tcPr>
          <w:p w14:paraId="0CCF64D1">
            <w:pPr>
              <w:shd w:val="clear" w:color="auto" w:fill="FFFFFF"/>
              <w:spacing w:line="360" w:lineRule="auto"/>
              <w:rPr>
                <w:color w:val="auto"/>
                <w:szCs w:val="21"/>
              </w:rPr>
            </w:pPr>
            <w:r>
              <w:rPr>
                <w:color w:val="auto"/>
                <w:szCs w:val="21"/>
              </w:rPr>
              <w:t>加入量（μg）</w:t>
            </w:r>
          </w:p>
        </w:tc>
        <w:tc>
          <w:tcPr>
            <w:tcW w:w="1560" w:type="dxa"/>
            <w:tcBorders>
              <w:bottom w:val="single" w:color="auto" w:sz="12" w:space="0"/>
            </w:tcBorders>
          </w:tcPr>
          <w:p w14:paraId="62783695">
            <w:pPr>
              <w:shd w:val="clear" w:color="auto" w:fill="FFFFFF"/>
              <w:spacing w:line="360" w:lineRule="auto"/>
              <w:rPr>
                <w:color w:val="auto"/>
                <w:szCs w:val="21"/>
              </w:rPr>
            </w:pPr>
            <w:r>
              <w:rPr>
                <w:color w:val="auto"/>
                <w:szCs w:val="21"/>
              </w:rPr>
              <w:t>平均值（μg）</w:t>
            </w:r>
          </w:p>
        </w:tc>
        <w:tc>
          <w:tcPr>
            <w:tcW w:w="1918" w:type="dxa"/>
            <w:tcBorders>
              <w:bottom w:val="single" w:color="auto" w:sz="12" w:space="0"/>
            </w:tcBorders>
          </w:tcPr>
          <w:p w14:paraId="0601D5D7">
            <w:pPr>
              <w:shd w:val="clear" w:color="auto" w:fill="FFFFFF"/>
              <w:spacing w:line="360" w:lineRule="auto"/>
              <w:jc w:val="center"/>
              <w:rPr>
                <w:color w:val="auto"/>
                <w:szCs w:val="21"/>
              </w:rPr>
            </w:pPr>
            <w:r>
              <w:rPr>
                <w:color w:val="auto"/>
                <w:szCs w:val="21"/>
              </w:rPr>
              <w:t>平价下降率（%）</w:t>
            </w:r>
          </w:p>
        </w:tc>
      </w:tr>
      <w:tr w14:paraId="55BCD85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1493" w:type="dxa"/>
            <w:tcBorders>
              <w:top w:val="single" w:color="auto" w:sz="12" w:space="0"/>
              <w:tl2br w:val="nil"/>
              <w:tr2bl w:val="nil"/>
            </w:tcBorders>
          </w:tcPr>
          <w:p w14:paraId="62BF4FF3">
            <w:pPr>
              <w:shd w:val="clear" w:color="auto" w:fill="FFFFFF"/>
              <w:spacing w:line="360" w:lineRule="auto"/>
              <w:jc w:val="center"/>
              <w:rPr>
                <w:color w:val="auto"/>
                <w:szCs w:val="21"/>
              </w:rPr>
            </w:pPr>
            <w:r>
              <w:rPr>
                <w:color w:val="auto"/>
                <w:szCs w:val="21"/>
              </w:rPr>
              <w:t>第1天</w:t>
            </w:r>
          </w:p>
        </w:tc>
        <w:tc>
          <w:tcPr>
            <w:tcW w:w="1488" w:type="dxa"/>
            <w:tcBorders>
              <w:top w:val="single" w:color="auto" w:sz="12" w:space="0"/>
              <w:tl2br w:val="nil"/>
              <w:tr2bl w:val="nil"/>
            </w:tcBorders>
          </w:tcPr>
          <w:p w14:paraId="4DDC4644">
            <w:pPr>
              <w:shd w:val="clear" w:color="auto" w:fill="FFFFFF"/>
              <w:spacing w:line="360" w:lineRule="auto"/>
              <w:jc w:val="center"/>
              <w:rPr>
                <w:color w:val="auto"/>
                <w:szCs w:val="21"/>
              </w:rPr>
            </w:pPr>
            <w:r>
              <w:rPr>
                <w:color w:val="auto"/>
                <w:szCs w:val="21"/>
              </w:rPr>
              <w:t>5.18</w:t>
            </w:r>
          </w:p>
        </w:tc>
        <w:tc>
          <w:tcPr>
            <w:tcW w:w="1560" w:type="dxa"/>
            <w:tcBorders>
              <w:top w:val="single" w:color="auto" w:sz="12" w:space="0"/>
              <w:tl2br w:val="nil"/>
              <w:tr2bl w:val="nil"/>
            </w:tcBorders>
          </w:tcPr>
          <w:p w14:paraId="2185302F">
            <w:pPr>
              <w:shd w:val="clear" w:color="auto" w:fill="FFFFFF"/>
              <w:spacing w:line="360" w:lineRule="auto"/>
              <w:jc w:val="center"/>
              <w:rPr>
                <w:color w:val="auto"/>
                <w:szCs w:val="21"/>
              </w:rPr>
            </w:pPr>
            <w:r>
              <w:rPr>
                <w:color w:val="auto"/>
                <w:szCs w:val="21"/>
              </w:rPr>
              <w:t>5.17</w:t>
            </w:r>
          </w:p>
        </w:tc>
        <w:tc>
          <w:tcPr>
            <w:tcW w:w="1918" w:type="dxa"/>
            <w:tcBorders>
              <w:top w:val="single" w:color="auto" w:sz="12" w:space="0"/>
              <w:tl2br w:val="nil"/>
              <w:tr2bl w:val="nil"/>
            </w:tcBorders>
          </w:tcPr>
          <w:p w14:paraId="540A7B80">
            <w:pPr>
              <w:shd w:val="clear" w:color="auto" w:fill="FFFFFF"/>
              <w:spacing w:line="360" w:lineRule="auto"/>
              <w:jc w:val="center"/>
              <w:rPr>
                <w:color w:val="auto"/>
                <w:szCs w:val="21"/>
              </w:rPr>
            </w:pPr>
            <w:r>
              <w:rPr>
                <w:color w:val="auto"/>
                <w:szCs w:val="21"/>
              </w:rPr>
              <w:t>/</w:t>
            </w:r>
          </w:p>
        </w:tc>
      </w:tr>
      <w:tr w14:paraId="320D957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3" w:type="dxa"/>
            <w:tcBorders>
              <w:tl2br w:val="nil"/>
              <w:tr2bl w:val="nil"/>
            </w:tcBorders>
          </w:tcPr>
          <w:p w14:paraId="3EA44D89">
            <w:pPr>
              <w:shd w:val="clear" w:color="auto" w:fill="FFFFFF"/>
              <w:spacing w:line="360" w:lineRule="auto"/>
              <w:jc w:val="center"/>
              <w:rPr>
                <w:color w:val="auto"/>
                <w:szCs w:val="21"/>
              </w:rPr>
            </w:pPr>
            <w:r>
              <w:rPr>
                <w:color w:val="auto"/>
                <w:szCs w:val="21"/>
              </w:rPr>
              <w:t>第3天</w:t>
            </w:r>
          </w:p>
        </w:tc>
        <w:tc>
          <w:tcPr>
            <w:tcW w:w="1488" w:type="dxa"/>
            <w:tcBorders>
              <w:tl2br w:val="nil"/>
              <w:tr2bl w:val="nil"/>
            </w:tcBorders>
          </w:tcPr>
          <w:p w14:paraId="7B840DCA">
            <w:pPr>
              <w:shd w:val="clear" w:color="auto" w:fill="FFFFFF"/>
              <w:spacing w:line="360" w:lineRule="auto"/>
              <w:jc w:val="center"/>
              <w:rPr>
                <w:color w:val="auto"/>
                <w:szCs w:val="21"/>
              </w:rPr>
            </w:pPr>
            <w:r>
              <w:rPr>
                <w:color w:val="auto"/>
                <w:szCs w:val="21"/>
              </w:rPr>
              <w:t>5.18</w:t>
            </w:r>
          </w:p>
        </w:tc>
        <w:tc>
          <w:tcPr>
            <w:tcW w:w="1560" w:type="dxa"/>
            <w:tcBorders>
              <w:tl2br w:val="nil"/>
              <w:tr2bl w:val="nil"/>
            </w:tcBorders>
          </w:tcPr>
          <w:p w14:paraId="6A710EB9">
            <w:pPr>
              <w:shd w:val="clear" w:color="auto" w:fill="FFFFFF"/>
              <w:spacing w:line="360" w:lineRule="auto"/>
              <w:jc w:val="center"/>
              <w:rPr>
                <w:color w:val="auto"/>
                <w:szCs w:val="21"/>
              </w:rPr>
            </w:pPr>
            <w:r>
              <w:rPr>
                <w:color w:val="auto"/>
                <w:szCs w:val="21"/>
              </w:rPr>
              <w:t>5.17</w:t>
            </w:r>
          </w:p>
        </w:tc>
        <w:tc>
          <w:tcPr>
            <w:tcW w:w="1918" w:type="dxa"/>
            <w:tcBorders>
              <w:tl2br w:val="nil"/>
              <w:tr2bl w:val="nil"/>
            </w:tcBorders>
          </w:tcPr>
          <w:p w14:paraId="5B370048">
            <w:pPr>
              <w:shd w:val="clear" w:color="auto" w:fill="FFFFFF"/>
              <w:spacing w:line="360" w:lineRule="auto"/>
              <w:jc w:val="center"/>
              <w:rPr>
                <w:color w:val="auto"/>
                <w:szCs w:val="21"/>
              </w:rPr>
            </w:pPr>
            <w:r>
              <w:rPr>
                <w:color w:val="auto"/>
                <w:szCs w:val="21"/>
              </w:rPr>
              <w:t>0.0</w:t>
            </w:r>
          </w:p>
        </w:tc>
      </w:tr>
      <w:tr w14:paraId="4250126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3" w:type="dxa"/>
            <w:tcBorders>
              <w:tl2br w:val="nil"/>
              <w:tr2bl w:val="nil"/>
            </w:tcBorders>
          </w:tcPr>
          <w:p w14:paraId="3E6279D4">
            <w:pPr>
              <w:shd w:val="clear" w:color="auto" w:fill="FFFFFF"/>
              <w:spacing w:line="360" w:lineRule="auto"/>
              <w:jc w:val="center"/>
              <w:rPr>
                <w:color w:val="auto"/>
                <w:szCs w:val="21"/>
              </w:rPr>
            </w:pPr>
            <w:r>
              <w:rPr>
                <w:color w:val="auto"/>
                <w:szCs w:val="21"/>
              </w:rPr>
              <w:t>第5天</w:t>
            </w:r>
          </w:p>
        </w:tc>
        <w:tc>
          <w:tcPr>
            <w:tcW w:w="1488" w:type="dxa"/>
            <w:tcBorders>
              <w:tl2br w:val="nil"/>
              <w:tr2bl w:val="nil"/>
            </w:tcBorders>
          </w:tcPr>
          <w:p w14:paraId="40E98C7F">
            <w:pPr>
              <w:shd w:val="clear" w:color="auto" w:fill="FFFFFF"/>
              <w:spacing w:line="360" w:lineRule="auto"/>
              <w:jc w:val="center"/>
              <w:rPr>
                <w:color w:val="auto"/>
                <w:szCs w:val="21"/>
              </w:rPr>
            </w:pPr>
            <w:r>
              <w:rPr>
                <w:color w:val="auto"/>
                <w:szCs w:val="21"/>
              </w:rPr>
              <w:t>5.18</w:t>
            </w:r>
          </w:p>
        </w:tc>
        <w:tc>
          <w:tcPr>
            <w:tcW w:w="1560" w:type="dxa"/>
            <w:tcBorders>
              <w:tl2br w:val="nil"/>
              <w:tr2bl w:val="nil"/>
            </w:tcBorders>
          </w:tcPr>
          <w:p w14:paraId="2587FFD0">
            <w:pPr>
              <w:shd w:val="clear" w:color="auto" w:fill="FFFFFF"/>
              <w:tabs>
                <w:tab w:val="left" w:pos="1077"/>
              </w:tabs>
              <w:spacing w:line="360" w:lineRule="auto"/>
              <w:jc w:val="center"/>
              <w:rPr>
                <w:color w:val="auto"/>
                <w:szCs w:val="21"/>
              </w:rPr>
            </w:pPr>
            <w:r>
              <w:rPr>
                <w:color w:val="auto"/>
                <w:szCs w:val="21"/>
              </w:rPr>
              <w:t>5.15</w:t>
            </w:r>
          </w:p>
        </w:tc>
        <w:tc>
          <w:tcPr>
            <w:tcW w:w="1918" w:type="dxa"/>
            <w:tcBorders>
              <w:tl2br w:val="nil"/>
              <w:tr2bl w:val="nil"/>
            </w:tcBorders>
          </w:tcPr>
          <w:p w14:paraId="512A5C03">
            <w:pPr>
              <w:shd w:val="clear" w:color="auto" w:fill="FFFFFF"/>
              <w:spacing w:line="360" w:lineRule="auto"/>
              <w:jc w:val="center"/>
              <w:rPr>
                <w:color w:val="auto"/>
                <w:szCs w:val="21"/>
              </w:rPr>
            </w:pPr>
            <w:r>
              <w:rPr>
                <w:color w:val="auto"/>
                <w:szCs w:val="21"/>
              </w:rPr>
              <w:t>0.4</w:t>
            </w:r>
          </w:p>
        </w:tc>
      </w:tr>
      <w:tr w14:paraId="4826B5A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3" w:type="dxa"/>
            <w:tcBorders>
              <w:tl2br w:val="nil"/>
              <w:tr2bl w:val="nil"/>
            </w:tcBorders>
          </w:tcPr>
          <w:p w14:paraId="6C61264B">
            <w:pPr>
              <w:shd w:val="clear" w:color="auto" w:fill="FFFFFF"/>
              <w:spacing w:line="360" w:lineRule="auto"/>
              <w:jc w:val="center"/>
              <w:rPr>
                <w:color w:val="auto"/>
                <w:szCs w:val="21"/>
              </w:rPr>
            </w:pPr>
            <w:r>
              <w:rPr>
                <w:color w:val="auto"/>
                <w:szCs w:val="21"/>
              </w:rPr>
              <w:t>第7天</w:t>
            </w:r>
          </w:p>
        </w:tc>
        <w:tc>
          <w:tcPr>
            <w:tcW w:w="1488" w:type="dxa"/>
            <w:tcBorders>
              <w:tl2br w:val="nil"/>
              <w:tr2bl w:val="nil"/>
            </w:tcBorders>
          </w:tcPr>
          <w:p w14:paraId="12FF84EF">
            <w:pPr>
              <w:shd w:val="clear" w:color="auto" w:fill="FFFFFF"/>
              <w:spacing w:line="360" w:lineRule="auto"/>
              <w:jc w:val="center"/>
              <w:rPr>
                <w:color w:val="auto"/>
                <w:szCs w:val="21"/>
              </w:rPr>
            </w:pPr>
            <w:r>
              <w:rPr>
                <w:color w:val="auto"/>
                <w:szCs w:val="21"/>
              </w:rPr>
              <w:t>5.18</w:t>
            </w:r>
          </w:p>
        </w:tc>
        <w:tc>
          <w:tcPr>
            <w:tcW w:w="1560" w:type="dxa"/>
            <w:tcBorders>
              <w:tl2br w:val="nil"/>
              <w:tr2bl w:val="nil"/>
            </w:tcBorders>
          </w:tcPr>
          <w:p w14:paraId="171BB412">
            <w:pPr>
              <w:shd w:val="clear" w:color="auto" w:fill="FFFFFF"/>
              <w:spacing w:line="360" w:lineRule="auto"/>
              <w:jc w:val="center"/>
              <w:rPr>
                <w:color w:val="auto"/>
                <w:szCs w:val="21"/>
              </w:rPr>
            </w:pPr>
            <w:r>
              <w:rPr>
                <w:color w:val="auto"/>
                <w:szCs w:val="21"/>
              </w:rPr>
              <w:t>5.11</w:t>
            </w:r>
          </w:p>
        </w:tc>
        <w:tc>
          <w:tcPr>
            <w:tcW w:w="1918" w:type="dxa"/>
            <w:tcBorders>
              <w:tl2br w:val="nil"/>
              <w:tr2bl w:val="nil"/>
            </w:tcBorders>
          </w:tcPr>
          <w:p w14:paraId="26F37F6B">
            <w:pPr>
              <w:shd w:val="clear" w:color="auto" w:fill="FFFFFF"/>
              <w:spacing w:line="360" w:lineRule="auto"/>
              <w:jc w:val="center"/>
              <w:rPr>
                <w:color w:val="auto"/>
                <w:szCs w:val="21"/>
              </w:rPr>
            </w:pPr>
            <w:r>
              <w:rPr>
                <w:color w:val="auto"/>
                <w:szCs w:val="21"/>
              </w:rPr>
              <w:t>1.2</w:t>
            </w:r>
          </w:p>
        </w:tc>
      </w:tr>
      <w:tr w14:paraId="0A866BB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93" w:type="dxa"/>
            <w:tcBorders>
              <w:tl2br w:val="nil"/>
              <w:tr2bl w:val="nil"/>
            </w:tcBorders>
          </w:tcPr>
          <w:p w14:paraId="491AAF67">
            <w:pPr>
              <w:shd w:val="clear" w:color="auto" w:fill="FFFFFF"/>
              <w:spacing w:line="360" w:lineRule="auto"/>
              <w:jc w:val="center"/>
              <w:rPr>
                <w:color w:val="auto"/>
                <w:szCs w:val="21"/>
              </w:rPr>
            </w:pPr>
            <w:r>
              <w:rPr>
                <w:color w:val="auto"/>
                <w:szCs w:val="21"/>
              </w:rPr>
              <w:t>第14天</w:t>
            </w:r>
          </w:p>
        </w:tc>
        <w:tc>
          <w:tcPr>
            <w:tcW w:w="1488" w:type="dxa"/>
            <w:tcBorders>
              <w:tl2br w:val="nil"/>
              <w:tr2bl w:val="nil"/>
            </w:tcBorders>
          </w:tcPr>
          <w:p w14:paraId="6477B3D7">
            <w:pPr>
              <w:shd w:val="clear" w:color="auto" w:fill="FFFFFF"/>
              <w:spacing w:line="360" w:lineRule="auto"/>
              <w:jc w:val="center"/>
              <w:rPr>
                <w:color w:val="auto"/>
                <w:szCs w:val="21"/>
              </w:rPr>
            </w:pPr>
            <w:r>
              <w:rPr>
                <w:color w:val="auto"/>
                <w:szCs w:val="21"/>
              </w:rPr>
              <w:t>5.18</w:t>
            </w:r>
          </w:p>
        </w:tc>
        <w:tc>
          <w:tcPr>
            <w:tcW w:w="1560" w:type="dxa"/>
            <w:tcBorders>
              <w:tl2br w:val="nil"/>
              <w:tr2bl w:val="nil"/>
            </w:tcBorders>
          </w:tcPr>
          <w:p w14:paraId="4ED7C645">
            <w:pPr>
              <w:shd w:val="clear" w:color="auto" w:fill="FFFFFF"/>
              <w:spacing w:line="360" w:lineRule="auto"/>
              <w:jc w:val="center"/>
              <w:rPr>
                <w:color w:val="auto"/>
                <w:szCs w:val="21"/>
              </w:rPr>
            </w:pPr>
            <w:r>
              <w:rPr>
                <w:color w:val="auto"/>
                <w:szCs w:val="21"/>
              </w:rPr>
              <w:t>4.91</w:t>
            </w:r>
          </w:p>
        </w:tc>
        <w:tc>
          <w:tcPr>
            <w:tcW w:w="1918" w:type="dxa"/>
            <w:tcBorders>
              <w:tl2br w:val="nil"/>
              <w:tr2bl w:val="nil"/>
            </w:tcBorders>
          </w:tcPr>
          <w:p w14:paraId="53A6268F">
            <w:pPr>
              <w:shd w:val="clear" w:color="auto" w:fill="FFFFFF"/>
              <w:spacing w:line="360" w:lineRule="auto"/>
              <w:jc w:val="center"/>
              <w:rPr>
                <w:color w:val="auto"/>
                <w:szCs w:val="21"/>
              </w:rPr>
            </w:pPr>
            <w:r>
              <w:rPr>
                <w:color w:val="auto"/>
                <w:szCs w:val="21"/>
              </w:rPr>
              <w:t>5.0</w:t>
            </w:r>
          </w:p>
        </w:tc>
      </w:tr>
    </w:tbl>
    <w:p w14:paraId="1259BA35">
      <w:pPr>
        <w:spacing w:before="156" w:beforeLines="50" w:line="500" w:lineRule="exact"/>
        <w:ind w:firstLine="560" w:firstLineChars="200"/>
        <w:jc w:val="left"/>
        <w:rPr>
          <w:rFonts w:eastAsia="黑体"/>
          <w:color w:val="auto"/>
          <w:sz w:val="28"/>
          <w:szCs w:val="28"/>
        </w:rPr>
      </w:pPr>
      <w:r>
        <w:rPr>
          <w:rFonts w:hint="eastAsia" w:eastAsia="黑体"/>
          <w:color w:val="auto"/>
          <w:sz w:val="28"/>
          <w:szCs w:val="28"/>
          <w:lang w:val="en-US" w:eastAsia="zh-CN"/>
        </w:rPr>
        <w:t>6.11</w:t>
      </w:r>
      <w:r>
        <w:rPr>
          <w:rFonts w:eastAsia="黑体"/>
          <w:color w:val="auto"/>
          <w:sz w:val="28"/>
          <w:szCs w:val="28"/>
        </w:rPr>
        <w:t>干扰试验</w:t>
      </w:r>
    </w:p>
    <w:p w14:paraId="6CF6288F">
      <w:pPr>
        <w:spacing w:line="460" w:lineRule="exact"/>
        <w:ind w:firstLine="560" w:firstLineChars="200"/>
        <w:jc w:val="left"/>
        <w:rPr>
          <w:rFonts w:hint="default" w:eastAsia="仿宋"/>
          <w:color w:val="auto"/>
          <w:sz w:val="28"/>
          <w:szCs w:val="28"/>
          <w:lang w:val="en-US" w:eastAsia="zh-CN"/>
        </w:rPr>
      </w:pPr>
      <w:r>
        <w:rPr>
          <w:rFonts w:hint="eastAsia" w:eastAsia="仿宋"/>
          <w:color w:val="auto"/>
          <w:sz w:val="28"/>
          <w:szCs w:val="28"/>
        </w:rPr>
        <w:t>离子色谱常见干扰离子主要有</w:t>
      </w:r>
      <w:r>
        <w:rPr>
          <w:rFonts w:eastAsia="仿宋"/>
          <w:color w:val="auto"/>
          <w:sz w:val="28"/>
          <w:szCs w:val="28"/>
        </w:rPr>
        <w:t>氟离子、氯离子、硝酸盐、硫酸盐等常见阴离子。试验结果显示，</w:t>
      </w:r>
      <w:r>
        <w:rPr>
          <w:rFonts w:hint="eastAsia" w:eastAsia="仿宋"/>
          <w:color w:val="auto"/>
          <w:sz w:val="28"/>
          <w:szCs w:val="28"/>
        </w:rPr>
        <w:t>草铵膦</w:t>
      </w:r>
      <w:r>
        <w:rPr>
          <w:rFonts w:eastAsia="仿宋"/>
          <w:color w:val="auto"/>
          <w:sz w:val="28"/>
          <w:szCs w:val="28"/>
        </w:rPr>
        <w:t>出峰良好，与共存物能有效分离。标准溶液</w:t>
      </w:r>
      <w:r>
        <w:rPr>
          <w:rFonts w:hint="eastAsia" w:eastAsia="仿宋"/>
          <w:color w:val="auto"/>
          <w:sz w:val="28"/>
          <w:szCs w:val="28"/>
        </w:rPr>
        <w:t>见图1。</w:t>
      </w:r>
      <w:r>
        <w:rPr>
          <w:rFonts w:hint="eastAsia" w:eastAsia="仿宋"/>
          <w:color w:val="auto"/>
          <w:sz w:val="28"/>
          <w:szCs w:val="28"/>
          <w:lang w:val="en-US" w:eastAsia="zh-CN"/>
        </w:rPr>
        <w:t>空白色谱图见图2。</w:t>
      </w:r>
    </w:p>
    <w:p w14:paraId="561E4D75">
      <w:pPr>
        <w:spacing w:line="360" w:lineRule="auto"/>
        <w:ind w:firstLine="480" w:firstLineChars="200"/>
        <w:jc w:val="center"/>
        <w:rPr>
          <w:rFonts w:eastAsia="仿宋"/>
          <w:color w:val="auto"/>
          <w:sz w:val="28"/>
          <w:szCs w:val="28"/>
        </w:rPr>
      </w:pPr>
      <w:r>
        <w:rPr>
          <w:rFonts w:ascii="宋体" w:hAnsi="宋体" w:cs="宋体"/>
          <w:color w:val="auto"/>
          <w:kern w:val="0"/>
          <w:sz w:val="24"/>
        </w:rPr>
        <w:drawing>
          <wp:inline distT="0" distB="0" distL="114300" distR="114300">
            <wp:extent cx="3724275" cy="2322830"/>
            <wp:effectExtent l="0" t="0" r="9525" b="127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6"/>
                    <a:stretch>
                      <a:fillRect/>
                    </a:stretch>
                  </pic:blipFill>
                  <pic:spPr>
                    <a:xfrm>
                      <a:off x="0" y="0"/>
                      <a:ext cx="3724275" cy="2322830"/>
                    </a:xfrm>
                    <a:prstGeom prst="rect">
                      <a:avLst/>
                    </a:prstGeom>
                    <a:noFill/>
                    <a:ln w="9525">
                      <a:noFill/>
                    </a:ln>
                  </pic:spPr>
                </pic:pic>
              </a:graphicData>
            </a:graphic>
          </wp:inline>
        </w:drawing>
      </w:r>
    </w:p>
    <w:p w14:paraId="3DE71F91">
      <w:pPr>
        <w:widowControl/>
        <w:spacing w:line="360" w:lineRule="auto"/>
        <w:jc w:val="center"/>
        <w:rPr>
          <w:rFonts w:eastAsia="仿宋"/>
          <w:color w:val="auto"/>
          <w:kern w:val="0"/>
          <w:sz w:val="24"/>
          <w:lang w:bidi="ar"/>
        </w:rPr>
      </w:pPr>
      <w:r>
        <w:rPr>
          <w:rFonts w:hint="eastAsia" w:eastAsia="仿宋"/>
          <w:color w:val="auto"/>
          <w:sz w:val="18"/>
          <w:szCs w:val="18"/>
          <w:lang w:val="en-US" w:eastAsia="zh-CN"/>
        </w:rPr>
        <w:t>注：</w:t>
      </w:r>
      <w:r>
        <w:rPr>
          <w:rFonts w:eastAsia="仿宋"/>
          <w:color w:val="auto"/>
          <w:sz w:val="18"/>
          <w:szCs w:val="18"/>
        </w:rPr>
        <w:t>1-F</w:t>
      </w:r>
      <w:r>
        <w:rPr>
          <w:rFonts w:eastAsia="仿宋"/>
          <w:color w:val="auto"/>
          <w:sz w:val="18"/>
          <w:szCs w:val="18"/>
          <w:vertAlign w:val="superscript"/>
        </w:rPr>
        <w:t>-</w:t>
      </w:r>
      <w:r>
        <w:rPr>
          <w:rFonts w:eastAsia="仿宋"/>
          <w:color w:val="auto"/>
          <w:sz w:val="18"/>
          <w:szCs w:val="18"/>
        </w:rPr>
        <w:t>；2-Cl</w:t>
      </w:r>
      <w:r>
        <w:rPr>
          <w:rFonts w:eastAsia="仿宋"/>
          <w:color w:val="auto"/>
          <w:sz w:val="18"/>
          <w:szCs w:val="18"/>
          <w:vertAlign w:val="superscript"/>
        </w:rPr>
        <w:t>-</w:t>
      </w:r>
      <w:r>
        <w:rPr>
          <w:rFonts w:eastAsia="仿宋"/>
          <w:color w:val="auto"/>
          <w:sz w:val="18"/>
          <w:szCs w:val="18"/>
        </w:rPr>
        <w:t>；3-NO</w:t>
      </w:r>
      <w:r>
        <w:rPr>
          <w:rFonts w:eastAsia="仿宋"/>
          <w:color w:val="auto"/>
          <w:sz w:val="18"/>
          <w:szCs w:val="18"/>
          <w:vertAlign w:val="subscript"/>
        </w:rPr>
        <w:t>2</w:t>
      </w:r>
      <w:r>
        <w:rPr>
          <w:rFonts w:eastAsia="仿宋"/>
          <w:color w:val="auto"/>
          <w:sz w:val="18"/>
          <w:szCs w:val="18"/>
          <w:vertAlign w:val="superscript"/>
        </w:rPr>
        <w:t>-</w:t>
      </w:r>
      <w:r>
        <w:rPr>
          <w:rFonts w:eastAsia="仿宋"/>
          <w:color w:val="auto"/>
          <w:sz w:val="18"/>
          <w:szCs w:val="18"/>
        </w:rPr>
        <w:t>；4-草铵膦；5-SO</w:t>
      </w:r>
      <w:r>
        <w:rPr>
          <w:rFonts w:eastAsia="仿宋"/>
          <w:color w:val="auto"/>
          <w:sz w:val="18"/>
          <w:szCs w:val="18"/>
          <w:vertAlign w:val="subscript"/>
        </w:rPr>
        <w:t>4</w:t>
      </w:r>
      <w:r>
        <w:rPr>
          <w:rFonts w:eastAsia="仿宋"/>
          <w:color w:val="auto"/>
          <w:sz w:val="18"/>
          <w:szCs w:val="18"/>
          <w:vertAlign w:val="superscript"/>
        </w:rPr>
        <w:t>2-</w:t>
      </w:r>
    </w:p>
    <w:p w14:paraId="0212EA36">
      <w:pPr>
        <w:shd w:val="clear" w:color="auto" w:fill="FFFFFF"/>
        <w:spacing w:line="360" w:lineRule="auto"/>
        <w:jc w:val="center"/>
        <w:rPr>
          <w:rFonts w:eastAsia="仿宋"/>
          <w:color w:val="auto"/>
          <w:szCs w:val="21"/>
        </w:rPr>
      </w:pPr>
      <w:r>
        <w:rPr>
          <w:rFonts w:eastAsia="仿宋"/>
          <w:color w:val="auto"/>
          <w:szCs w:val="21"/>
        </w:rPr>
        <w:t>图</w:t>
      </w:r>
      <w:r>
        <w:rPr>
          <w:rFonts w:hint="eastAsia" w:eastAsia="仿宋"/>
          <w:color w:val="auto"/>
          <w:szCs w:val="21"/>
        </w:rPr>
        <w:t>1</w:t>
      </w:r>
      <w:r>
        <w:rPr>
          <w:rFonts w:eastAsia="仿宋"/>
          <w:color w:val="auto"/>
          <w:szCs w:val="21"/>
        </w:rPr>
        <w:t xml:space="preserve"> 标准溶液色谱图</w:t>
      </w:r>
    </w:p>
    <w:p w14:paraId="3D02B3C5">
      <w:pPr>
        <w:shd w:val="clear" w:color="auto" w:fill="FFFFFF"/>
        <w:spacing w:line="360" w:lineRule="auto"/>
        <w:jc w:val="center"/>
        <w:rPr>
          <w:rFonts w:hint="eastAsia" w:eastAsia="黑体"/>
          <w:color w:val="auto"/>
          <w:sz w:val="28"/>
          <w:szCs w:val="28"/>
          <w:highlight w:val="none"/>
          <w:lang w:val="en-US" w:eastAsia="zh-CN"/>
        </w:rPr>
      </w:pPr>
      <w:r>
        <w:rPr>
          <w:rFonts w:hint="eastAsia" w:eastAsia="黑体"/>
          <w:color w:val="auto"/>
          <w:sz w:val="28"/>
          <w:szCs w:val="28"/>
          <w:highlight w:val="none"/>
          <w:lang w:val="en-US" w:eastAsia="zh-CN"/>
        </w:rPr>
        <w:drawing>
          <wp:inline distT="0" distB="0" distL="114300" distR="114300">
            <wp:extent cx="3750310" cy="2085340"/>
            <wp:effectExtent l="0" t="0" r="13970" b="254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7"/>
                    <a:srcRect l="5780" t="9630" r="11993" b="3588"/>
                    <a:stretch>
                      <a:fillRect/>
                    </a:stretch>
                  </pic:blipFill>
                  <pic:spPr>
                    <a:xfrm>
                      <a:off x="0" y="0"/>
                      <a:ext cx="3750310" cy="2085340"/>
                    </a:xfrm>
                    <a:prstGeom prst="rect">
                      <a:avLst/>
                    </a:prstGeom>
                  </pic:spPr>
                </pic:pic>
              </a:graphicData>
            </a:graphic>
          </wp:inline>
        </w:drawing>
      </w:r>
    </w:p>
    <w:p w14:paraId="3EF94AB2">
      <w:pPr>
        <w:shd w:val="clear" w:color="auto" w:fill="FFFFFF"/>
        <w:spacing w:line="360" w:lineRule="auto"/>
        <w:jc w:val="center"/>
        <w:rPr>
          <w:rFonts w:hint="eastAsia" w:eastAsia="黑体"/>
          <w:color w:val="auto"/>
          <w:sz w:val="28"/>
          <w:szCs w:val="28"/>
          <w:highlight w:val="none"/>
          <w:lang w:val="en-US" w:eastAsia="zh-CN"/>
        </w:rPr>
      </w:pPr>
      <w:r>
        <w:rPr>
          <w:rFonts w:eastAsia="仿宋"/>
          <w:color w:val="auto"/>
          <w:szCs w:val="21"/>
        </w:rPr>
        <w:t>图</w:t>
      </w:r>
      <w:r>
        <w:rPr>
          <w:rFonts w:hint="eastAsia" w:eastAsia="仿宋"/>
          <w:color w:val="auto"/>
          <w:szCs w:val="21"/>
          <w:lang w:val="en-US" w:eastAsia="zh-CN"/>
        </w:rPr>
        <w:t>2</w:t>
      </w:r>
      <w:r>
        <w:rPr>
          <w:rFonts w:eastAsia="仿宋"/>
          <w:color w:val="auto"/>
          <w:szCs w:val="21"/>
        </w:rPr>
        <w:t xml:space="preserve"> </w:t>
      </w:r>
      <w:r>
        <w:rPr>
          <w:rFonts w:hint="eastAsia" w:eastAsia="仿宋"/>
          <w:color w:val="auto"/>
          <w:szCs w:val="21"/>
          <w:lang w:val="en-US" w:eastAsia="zh-CN"/>
        </w:rPr>
        <w:t>空白</w:t>
      </w:r>
      <w:r>
        <w:rPr>
          <w:rFonts w:eastAsia="仿宋"/>
          <w:color w:val="auto"/>
          <w:szCs w:val="21"/>
        </w:rPr>
        <w:t>色谱图</w:t>
      </w:r>
    </w:p>
    <w:p w14:paraId="664809A8">
      <w:pPr>
        <w:spacing w:before="156" w:beforeLines="50" w:line="500" w:lineRule="exact"/>
        <w:ind w:firstLine="560" w:firstLineChars="200"/>
        <w:jc w:val="left"/>
        <w:rPr>
          <w:rFonts w:eastAsia="黑体"/>
          <w:color w:val="auto"/>
          <w:sz w:val="28"/>
          <w:szCs w:val="28"/>
          <w:highlight w:val="none"/>
        </w:rPr>
      </w:pPr>
      <w:r>
        <w:rPr>
          <w:rFonts w:hint="eastAsia" w:eastAsia="黑体"/>
          <w:color w:val="auto"/>
          <w:sz w:val="28"/>
          <w:szCs w:val="28"/>
          <w:highlight w:val="none"/>
          <w:lang w:val="en-US" w:eastAsia="zh-CN"/>
        </w:rPr>
        <w:t>6.12</w:t>
      </w:r>
      <w:r>
        <w:rPr>
          <w:rFonts w:eastAsia="黑体"/>
          <w:color w:val="auto"/>
          <w:sz w:val="28"/>
          <w:szCs w:val="28"/>
          <w:highlight w:val="none"/>
        </w:rPr>
        <w:t>现场测定结果</w:t>
      </w:r>
    </w:p>
    <w:p w14:paraId="463F6311">
      <w:pPr>
        <w:spacing w:line="460" w:lineRule="exact"/>
        <w:ind w:firstLine="560" w:firstLineChars="200"/>
        <w:rPr>
          <w:rFonts w:hint="eastAsia" w:eastAsia="仿宋"/>
          <w:color w:val="auto"/>
          <w:sz w:val="28"/>
          <w:szCs w:val="28"/>
        </w:rPr>
      </w:pPr>
      <w:r>
        <w:rPr>
          <w:rFonts w:eastAsia="仿宋"/>
          <w:color w:val="auto"/>
          <w:sz w:val="28"/>
          <w:szCs w:val="28"/>
        </w:rPr>
        <w:t>选取某化工公司</w:t>
      </w:r>
      <w:r>
        <w:rPr>
          <w:rFonts w:hint="eastAsia" w:eastAsia="仿宋"/>
          <w:color w:val="auto"/>
          <w:sz w:val="28"/>
          <w:szCs w:val="28"/>
        </w:rPr>
        <w:t>草铵膦</w:t>
      </w:r>
      <w:r>
        <w:rPr>
          <w:rFonts w:eastAsia="仿宋"/>
          <w:color w:val="auto"/>
          <w:sz w:val="28"/>
          <w:szCs w:val="28"/>
        </w:rPr>
        <w:t>生产车间作为采样点，</w:t>
      </w:r>
      <w:r>
        <w:rPr>
          <w:rFonts w:hint="eastAsia" w:eastAsia="仿宋"/>
          <w:color w:val="auto"/>
          <w:sz w:val="28"/>
          <w:szCs w:val="28"/>
          <w:lang w:val="en-US" w:eastAsia="zh-CN"/>
        </w:rPr>
        <w:t>调查企业职业卫生基本情况见表11。</w:t>
      </w:r>
      <w:r>
        <w:rPr>
          <w:rFonts w:eastAsia="仿宋"/>
          <w:color w:val="auto"/>
          <w:sz w:val="28"/>
          <w:szCs w:val="28"/>
        </w:rPr>
        <w:t>运用定点检测与方式对</w:t>
      </w:r>
      <w:r>
        <w:rPr>
          <w:rFonts w:hint="eastAsia" w:eastAsia="仿宋"/>
          <w:color w:val="auto"/>
          <w:sz w:val="28"/>
          <w:szCs w:val="28"/>
        </w:rPr>
        <w:t>草铵膦</w:t>
      </w:r>
      <w:r>
        <w:rPr>
          <w:rFonts w:eastAsia="仿宋"/>
          <w:color w:val="auto"/>
          <w:sz w:val="28"/>
          <w:szCs w:val="28"/>
        </w:rPr>
        <w:t>车间空气中</w:t>
      </w:r>
      <w:r>
        <w:rPr>
          <w:rFonts w:hint="eastAsia" w:eastAsia="仿宋"/>
          <w:color w:val="auto"/>
          <w:sz w:val="28"/>
          <w:szCs w:val="28"/>
        </w:rPr>
        <w:t>草铵膦</w:t>
      </w:r>
      <w:r>
        <w:rPr>
          <w:rFonts w:eastAsia="仿宋"/>
          <w:color w:val="auto"/>
          <w:sz w:val="28"/>
          <w:szCs w:val="28"/>
        </w:rPr>
        <w:t>浓度进行检测，结果见表</w:t>
      </w:r>
      <w:r>
        <w:rPr>
          <w:rFonts w:hint="eastAsia" w:eastAsia="仿宋"/>
          <w:color w:val="auto"/>
          <w:sz w:val="28"/>
          <w:szCs w:val="28"/>
        </w:rPr>
        <w:t>1</w:t>
      </w:r>
      <w:r>
        <w:rPr>
          <w:rFonts w:hint="eastAsia" w:eastAsia="仿宋"/>
          <w:color w:val="auto"/>
          <w:sz w:val="28"/>
          <w:szCs w:val="28"/>
          <w:lang w:val="en-US" w:eastAsia="zh-CN"/>
        </w:rPr>
        <w:t>2</w:t>
      </w:r>
      <w:r>
        <w:rPr>
          <w:rFonts w:eastAsia="仿宋"/>
          <w:color w:val="auto"/>
          <w:sz w:val="28"/>
          <w:szCs w:val="28"/>
        </w:rPr>
        <w:t>。可知定点采样，共获得</w:t>
      </w:r>
      <w:r>
        <w:rPr>
          <w:rFonts w:hint="eastAsia" w:eastAsia="仿宋"/>
          <w:color w:val="auto"/>
          <w:sz w:val="28"/>
          <w:szCs w:val="28"/>
        </w:rPr>
        <w:t>5</w:t>
      </w:r>
      <w:r>
        <w:rPr>
          <w:rFonts w:eastAsia="仿宋"/>
          <w:color w:val="auto"/>
          <w:sz w:val="28"/>
          <w:szCs w:val="28"/>
        </w:rPr>
        <w:t>份样品</w:t>
      </w:r>
      <w:r>
        <w:rPr>
          <w:rFonts w:hint="eastAsia" w:eastAsia="仿宋"/>
          <w:color w:val="auto"/>
          <w:sz w:val="28"/>
          <w:szCs w:val="28"/>
        </w:rPr>
        <w:t>。结果显示，</w:t>
      </w:r>
      <w:r>
        <w:rPr>
          <w:rFonts w:eastAsia="仿宋"/>
          <w:color w:val="auto"/>
          <w:sz w:val="28"/>
          <w:szCs w:val="28"/>
        </w:rPr>
        <w:t>工作场所</w:t>
      </w:r>
      <w:r>
        <w:rPr>
          <w:rFonts w:hint="eastAsia" w:eastAsia="仿宋"/>
          <w:color w:val="auto"/>
          <w:sz w:val="28"/>
          <w:szCs w:val="28"/>
        </w:rPr>
        <w:t>草铵膦短时间接触浓度</w:t>
      </w:r>
      <w:r>
        <w:rPr>
          <w:rFonts w:eastAsia="仿宋"/>
          <w:color w:val="auto"/>
          <w:sz w:val="28"/>
          <w:szCs w:val="28"/>
        </w:rPr>
        <w:t>最高为0.00</w:t>
      </w:r>
      <w:r>
        <w:rPr>
          <w:rFonts w:hint="eastAsia" w:eastAsia="仿宋"/>
          <w:color w:val="auto"/>
          <w:sz w:val="28"/>
          <w:szCs w:val="28"/>
        </w:rPr>
        <w:t>21</w:t>
      </w:r>
      <w:r>
        <w:rPr>
          <w:rFonts w:eastAsia="仿宋"/>
          <w:color w:val="auto"/>
          <w:sz w:val="28"/>
          <w:szCs w:val="28"/>
        </w:rPr>
        <w:t xml:space="preserve"> mg/m</w:t>
      </w:r>
      <w:r>
        <w:rPr>
          <w:rFonts w:eastAsia="仿宋"/>
          <w:color w:val="auto"/>
          <w:sz w:val="28"/>
          <w:szCs w:val="28"/>
          <w:vertAlign w:val="superscript"/>
        </w:rPr>
        <w:t>3</w:t>
      </w:r>
      <w:r>
        <w:rPr>
          <w:rFonts w:hint="eastAsia" w:eastAsia="仿宋"/>
          <w:color w:val="auto"/>
          <w:sz w:val="28"/>
          <w:szCs w:val="28"/>
        </w:rPr>
        <w:t>，定点检测结果范围为3.2×10</w:t>
      </w:r>
      <w:r>
        <w:rPr>
          <w:rFonts w:hint="eastAsia" w:eastAsia="仿宋"/>
          <w:color w:val="auto"/>
          <w:sz w:val="28"/>
          <w:szCs w:val="28"/>
          <w:vertAlign w:val="superscript"/>
        </w:rPr>
        <w:t>-4</w:t>
      </w:r>
      <w:r>
        <w:rPr>
          <w:rFonts w:hint="eastAsia" w:eastAsia="仿宋"/>
          <w:color w:val="auto"/>
          <w:sz w:val="28"/>
          <w:szCs w:val="28"/>
        </w:rPr>
        <w:t xml:space="preserve"> mg/m</w:t>
      </w:r>
      <w:r>
        <w:rPr>
          <w:rFonts w:hint="eastAsia" w:eastAsia="仿宋"/>
          <w:color w:val="auto"/>
          <w:sz w:val="28"/>
          <w:szCs w:val="28"/>
          <w:vertAlign w:val="superscript"/>
        </w:rPr>
        <w:t>3</w:t>
      </w:r>
      <w:r>
        <w:rPr>
          <w:rFonts w:hint="eastAsia" w:eastAsia="仿宋"/>
          <w:color w:val="auto"/>
          <w:sz w:val="28"/>
          <w:szCs w:val="28"/>
        </w:rPr>
        <w:t>~2.1×10</w:t>
      </w:r>
      <w:r>
        <w:rPr>
          <w:rFonts w:hint="eastAsia" w:eastAsia="仿宋"/>
          <w:color w:val="auto"/>
          <w:sz w:val="28"/>
          <w:szCs w:val="28"/>
          <w:vertAlign w:val="superscript"/>
        </w:rPr>
        <w:t>-3</w:t>
      </w:r>
      <w:r>
        <w:rPr>
          <w:rFonts w:hint="eastAsia" w:eastAsia="仿宋"/>
          <w:color w:val="auto"/>
          <w:sz w:val="28"/>
          <w:szCs w:val="28"/>
        </w:rPr>
        <w:t xml:space="preserve"> mg/m</w:t>
      </w:r>
      <w:r>
        <w:rPr>
          <w:rFonts w:hint="eastAsia" w:eastAsia="仿宋"/>
          <w:color w:val="auto"/>
          <w:sz w:val="28"/>
          <w:szCs w:val="28"/>
          <w:vertAlign w:val="superscript"/>
        </w:rPr>
        <w:t>3</w:t>
      </w:r>
      <w:r>
        <w:rPr>
          <w:rFonts w:hint="eastAsia" w:eastAsia="仿宋"/>
          <w:color w:val="auto"/>
          <w:sz w:val="28"/>
          <w:szCs w:val="28"/>
        </w:rPr>
        <w:t>。</w:t>
      </w:r>
    </w:p>
    <w:p w14:paraId="22DD76DE">
      <w:pPr>
        <w:shd w:val="clear" w:color="auto" w:fill="FFFFFF"/>
        <w:tabs>
          <w:tab w:val="left" w:pos="1612"/>
        </w:tabs>
        <w:spacing w:line="360" w:lineRule="auto"/>
        <w:jc w:val="center"/>
        <w:rPr>
          <w:rFonts w:hint="default" w:ascii="Times New Roman" w:hAnsi="Times New Roman" w:eastAsia="仿宋" w:cs="Times New Roman"/>
          <w:color w:val="auto"/>
          <w:kern w:val="2"/>
          <w:sz w:val="21"/>
          <w:szCs w:val="21"/>
          <w:lang w:val="en-US" w:eastAsia="zh-CN" w:bidi="ar-SA"/>
        </w:rPr>
      </w:pPr>
      <w:bookmarkStart w:id="3" w:name="_Toc17456"/>
      <w:r>
        <w:rPr>
          <w:rFonts w:hint="default" w:ascii="Times New Roman" w:hAnsi="Times New Roman" w:eastAsia="仿宋" w:cs="Times New Roman"/>
          <w:color w:val="auto"/>
          <w:kern w:val="2"/>
          <w:sz w:val="21"/>
          <w:szCs w:val="21"/>
          <w:lang w:val="en-US" w:eastAsia="zh-CN" w:bidi="ar-SA"/>
        </w:rPr>
        <w:t>表</w:t>
      </w:r>
      <w:r>
        <w:rPr>
          <w:rFonts w:hint="eastAsia" w:ascii="Times New Roman" w:hAnsi="Times New Roman" w:eastAsia="仿宋" w:cs="Times New Roman"/>
          <w:color w:val="auto"/>
          <w:kern w:val="2"/>
          <w:sz w:val="21"/>
          <w:szCs w:val="21"/>
          <w:lang w:val="en-US" w:eastAsia="zh-CN" w:bidi="ar-SA"/>
        </w:rPr>
        <w:t>11</w:t>
      </w:r>
      <w:r>
        <w:rPr>
          <w:rFonts w:hint="default" w:ascii="Times New Roman" w:hAnsi="Times New Roman" w:eastAsia="仿宋" w:cs="Times New Roman"/>
          <w:color w:val="auto"/>
          <w:kern w:val="2"/>
          <w:sz w:val="21"/>
          <w:szCs w:val="21"/>
          <w:lang w:val="en-US" w:eastAsia="zh-CN" w:bidi="ar-SA"/>
        </w:rPr>
        <w:t xml:space="preserve"> 调查企业基本情况表</w:t>
      </w:r>
      <w:bookmarkEnd w:id="3"/>
    </w:p>
    <w:tbl>
      <w:tblPr>
        <w:tblStyle w:val="21"/>
        <w:tblW w:w="9464"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56"/>
        <w:gridCol w:w="2012"/>
        <w:gridCol w:w="1293"/>
        <w:gridCol w:w="2551"/>
        <w:gridCol w:w="2552"/>
      </w:tblGrid>
      <w:tr w14:paraId="0DBF2B7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56" w:type="dxa"/>
            <w:tcBorders>
              <w:top w:val="single" w:color="auto" w:sz="12" w:space="0"/>
              <w:bottom w:val="single" w:color="auto" w:sz="8" w:space="0"/>
            </w:tcBorders>
            <w:shd w:val="clear" w:color="auto" w:fill="auto"/>
            <w:noWrap w:val="0"/>
            <w:vAlign w:val="center"/>
          </w:tcPr>
          <w:p w14:paraId="0213724C">
            <w:pPr>
              <w:widowControl w:val="0"/>
              <w:shd w:val="clear" w:color="auto" w:fill="FFFFFF"/>
              <w:spacing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企业名称</w:t>
            </w:r>
          </w:p>
        </w:tc>
        <w:tc>
          <w:tcPr>
            <w:tcW w:w="2012" w:type="dxa"/>
            <w:tcBorders>
              <w:top w:val="single" w:color="auto" w:sz="12" w:space="0"/>
              <w:bottom w:val="single" w:color="auto" w:sz="8" w:space="0"/>
            </w:tcBorders>
            <w:shd w:val="clear" w:color="auto" w:fill="auto"/>
            <w:noWrap w:val="0"/>
            <w:vAlign w:val="center"/>
          </w:tcPr>
          <w:p w14:paraId="1E1CE44C">
            <w:pPr>
              <w:widowControl w:val="0"/>
              <w:shd w:val="clear" w:color="auto" w:fill="FFFFFF"/>
              <w:spacing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个人防护措施</w:t>
            </w:r>
          </w:p>
        </w:tc>
        <w:tc>
          <w:tcPr>
            <w:tcW w:w="1293" w:type="dxa"/>
            <w:tcBorders>
              <w:top w:val="single" w:color="auto" w:sz="12" w:space="0"/>
              <w:bottom w:val="single" w:color="auto" w:sz="8" w:space="0"/>
            </w:tcBorders>
            <w:shd w:val="clear" w:color="auto" w:fill="auto"/>
            <w:noWrap w:val="0"/>
            <w:vAlign w:val="center"/>
          </w:tcPr>
          <w:p w14:paraId="6AA8E232">
            <w:pPr>
              <w:widowControl w:val="0"/>
              <w:shd w:val="clear" w:color="auto" w:fill="FFFFFF"/>
              <w:spacing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受试人数</w:t>
            </w:r>
          </w:p>
        </w:tc>
        <w:tc>
          <w:tcPr>
            <w:tcW w:w="2551" w:type="dxa"/>
            <w:tcBorders>
              <w:top w:val="single" w:color="auto" w:sz="12" w:space="0"/>
              <w:bottom w:val="single" w:color="auto" w:sz="8" w:space="0"/>
            </w:tcBorders>
            <w:shd w:val="clear" w:color="auto" w:fill="auto"/>
            <w:noWrap w:val="0"/>
            <w:vAlign w:val="center"/>
          </w:tcPr>
          <w:p w14:paraId="7BE02D79">
            <w:pPr>
              <w:widowControl w:val="0"/>
              <w:shd w:val="clear" w:color="auto" w:fill="FFFFFF"/>
              <w:spacing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现场基本情况</w:t>
            </w:r>
          </w:p>
        </w:tc>
        <w:tc>
          <w:tcPr>
            <w:tcW w:w="2552" w:type="dxa"/>
            <w:tcBorders>
              <w:top w:val="single" w:color="auto" w:sz="12" w:space="0"/>
              <w:bottom w:val="single" w:color="auto" w:sz="8" w:space="0"/>
            </w:tcBorders>
            <w:shd w:val="clear" w:color="auto" w:fill="auto"/>
            <w:noWrap w:val="0"/>
            <w:vAlign w:val="center"/>
          </w:tcPr>
          <w:p w14:paraId="599148A0">
            <w:pPr>
              <w:widowControl w:val="0"/>
              <w:shd w:val="clear" w:color="auto" w:fill="FFFFFF"/>
              <w:spacing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接触时间</w:t>
            </w:r>
          </w:p>
        </w:tc>
      </w:tr>
      <w:tr w14:paraId="3E36015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56" w:type="dxa"/>
            <w:tcBorders>
              <w:top w:val="single" w:color="auto" w:sz="8" w:space="0"/>
            </w:tcBorders>
            <w:shd w:val="clear" w:color="auto" w:fill="auto"/>
            <w:noWrap w:val="0"/>
            <w:vAlign w:val="center"/>
          </w:tcPr>
          <w:p w14:paraId="34160B94">
            <w:pPr>
              <w:widowControl w:val="0"/>
              <w:shd w:val="clear" w:color="auto" w:fill="FFFFFF"/>
              <w:spacing w:line="36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仁信作物保护技术有限公司</w:t>
            </w:r>
          </w:p>
        </w:tc>
        <w:tc>
          <w:tcPr>
            <w:tcW w:w="2012" w:type="dxa"/>
            <w:tcBorders>
              <w:top w:val="single" w:color="auto" w:sz="8" w:space="0"/>
            </w:tcBorders>
            <w:shd w:val="clear" w:color="auto" w:fill="auto"/>
            <w:noWrap w:val="0"/>
            <w:vAlign w:val="center"/>
          </w:tcPr>
          <w:p w14:paraId="042EE4EC">
            <w:pPr>
              <w:widowControl w:val="0"/>
              <w:shd w:val="clear" w:color="auto" w:fill="FFFFFF"/>
              <w:spacing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作业人员均佩戴防毒口罩、包装时佩戴乳胶手套</w:t>
            </w:r>
          </w:p>
        </w:tc>
        <w:tc>
          <w:tcPr>
            <w:tcW w:w="1293" w:type="dxa"/>
            <w:tcBorders>
              <w:top w:val="single" w:color="auto" w:sz="8" w:space="0"/>
            </w:tcBorders>
            <w:shd w:val="clear" w:color="auto" w:fill="auto"/>
            <w:noWrap w:val="0"/>
            <w:vAlign w:val="center"/>
          </w:tcPr>
          <w:p w14:paraId="0B3E5B84">
            <w:pPr>
              <w:widowControl w:val="0"/>
              <w:shd w:val="clear" w:color="auto" w:fill="FFFFFF"/>
              <w:spacing w:line="36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8</w:t>
            </w:r>
          </w:p>
        </w:tc>
        <w:tc>
          <w:tcPr>
            <w:tcW w:w="2551" w:type="dxa"/>
            <w:tcBorders>
              <w:top w:val="single" w:color="auto" w:sz="8" w:space="0"/>
            </w:tcBorders>
            <w:shd w:val="clear" w:color="auto" w:fill="auto"/>
            <w:noWrap w:val="0"/>
            <w:vAlign w:val="center"/>
          </w:tcPr>
          <w:p w14:paraId="08CD8237">
            <w:pPr>
              <w:widowControl w:val="0"/>
              <w:shd w:val="clear" w:color="auto" w:fill="FFFFFF"/>
              <w:spacing w:line="36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自动生产，装置均室内布置，现场环境整理较好</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分为原料仓库、反应釜、成品仓库及包装仓库</w:t>
            </w:r>
          </w:p>
        </w:tc>
        <w:tc>
          <w:tcPr>
            <w:tcW w:w="2552" w:type="dxa"/>
            <w:tcBorders>
              <w:top w:val="single" w:color="auto" w:sz="8" w:space="0"/>
            </w:tcBorders>
            <w:shd w:val="clear" w:color="auto" w:fill="auto"/>
            <w:noWrap w:val="0"/>
            <w:vAlign w:val="center"/>
          </w:tcPr>
          <w:p w14:paraId="10CDBF73">
            <w:pPr>
              <w:widowControl w:val="0"/>
              <w:shd w:val="clear" w:color="auto" w:fill="FFFFFF"/>
              <w:spacing w:line="36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巡检作业，每天接触时间约</w:t>
            </w:r>
            <w:r>
              <w:rPr>
                <w:rFonts w:hint="default" w:ascii="Times New Roman" w:hAnsi="Times New Roman" w:eastAsia="宋体" w:cs="Times New Roman"/>
                <w:color w:val="auto"/>
                <w:sz w:val="21"/>
                <w:szCs w:val="21"/>
                <w:lang w:val="en-US" w:eastAsia="zh-CN"/>
              </w:rPr>
              <w:t>8</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rPr>
              <w:t>h</w:t>
            </w:r>
          </w:p>
        </w:tc>
      </w:tr>
    </w:tbl>
    <w:p w14:paraId="60757D4A">
      <w:pPr>
        <w:shd w:val="clear" w:color="auto" w:fill="FFFFFF"/>
        <w:tabs>
          <w:tab w:val="left" w:pos="1612"/>
        </w:tabs>
        <w:spacing w:line="360" w:lineRule="auto"/>
        <w:jc w:val="center"/>
        <w:rPr>
          <w:rFonts w:hint="eastAsia" w:ascii="Times New Roman" w:hAnsi="Times New Roman" w:eastAsia="仿宋" w:cs="Times New Roman"/>
          <w:color w:val="auto"/>
          <w:kern w:val="2"/>
          <w:sz w:val="21"/>
          <w:szCs w:val="21"/>
          <w:lang w:val="en-US" w:eastAsia="zh-CN" w:bidi="ar-SA"/>
        </w:rPr>
      </w:pPr>
    </w:p>
    <w:p w14:paraId="60EB639F">
      <w:pPr>
        <w:shd w:val="clear" w:color="auto" w:fill="FFFFFF"/>
        <w:tabs>
          <w:tab w:val="left" w:pos="1612"/>
        </w:tabs>
        <w:spacing w:line="360" w:lineRule="auto"/>
        <w:jc w:val="center"/>
        <w:rPr>
          <w:rFonts w:hint="eastAsia" w:ascii="Times New Roman" w:hAnsi="Times New Roman" w:eastAsia="仿宋" w:cs="Times New Roman"/>
          <w:color w:val="auto"/>
          <w:kern w:val="2"/>
          <w:sz w:val="21"/>
          <w:szCs w:val="21"/>
          <w:lang w:val="en-US" w:eastAsia="zh-CN" w:bidi="ar-SA"/>
        </w:rPr>
      </w:pPr>
      <w:r>
        <w:rPr>
          <w:rFonts w:hint="eastAsia" w:ascii="Times New Roman" w:hAnsi="Times New Roman" w:eastAsia="仿宋" w:cs="Times New Roman"/>
          <w:color w:val="auto"/>
          <w:kern w:val="2"/>
          <w:sz w:val="21"/>
          <w:szCs w:val="21"/>
          <w:lang w:val="en-US" w:eastAsia="zh-CN" w:bidi="ar-SA"/>
        </w:rPr>
        <w:t>表12  现场空气中草铵膦短时间接触浓度检测结果</w:t>
      </w:r>
    </w:p>
    <w:tbl>
      <w:tblPr>
        <w:tblStyle w:val="21"/>
        <w:tblW w:w="5413"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38"/>
        <w:gridCol w:w="1238"/>
        <w:gridCol w:w="1776"/>
        <w:gridCol w:w="1161"/>
      </w:tblGrid>
      <w:tr w14:paraId="09FBB93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1238" w:type="dxa"/>
            <w:tcBorders>
              <w:bottom w:val="single" w:color="auto" w:sz="8" w:space="0"/>
            </w:tcBorders>
            <w:vAlign w:val="center"/>
          </w:tcPr>
          <w:p w14:paraId="04EBCC00">
            <w:pPr>
              <w:spacing w:line="360" w:lineRule="exact"/>
              <w:jc w:val="center"/>
              <w:rPr>
                <w:rFonts w:ascii="Times New Roman" w:hAnsi="Times New Roman" w:eastAsia="宋体"/>
                <w:color w:val="auto"/>
                <w:sz w:val="21"/>
                <w:szCs w:val="21"/>
              </w:rPr>
            </w:pPr>
            <w:r>
              <w:rPr>
                <w:rFonts w:ascii="Times New Roman" w:hAnsi="Times New Roman" w:eastAsia="宋体"/>
                <w:color w:val="auto"/>
                <w:sz w:val="21"/>
                <w:szCs w:val="21"/>
              </w:rPr>
              <w:t>岗位</w:t>
            </w:r>
          </w:p>
        </w:tc>
        <w:tc>
          <w:tcPr>
            <w:tcW w:w="1238" w:type="dxa"/>
            <w:tcBorders>
              <w:bottom w:val="single" w:color="auto" w:sz="8" w:space="0"/>
            </w:tcBorders>
            <w:vAlign w:val="center"/>
          </w:tcPr>
          <w:p w14:paraId="05F7DC78">
            <w:pPr>
              <w:spacing w:line="360" w:lineRule="exact"/>
              <w:jc w:val="center"/>
              <w:rPr>
                <w:rFonts w:ascii="Times New Roman" w:hAnsi="Times New Roman" w:eastAsia="宋体"/>
                <w:color w:val="auto"/>
                <w:sz w:val="21"/>
                <w:szCs w:val="21"/>
              </w:rPr>
            </w:pPr>
            <w:r>
              <w:rPr>
                <w:rFonts w:ascii="Times New Roman" w:hAnsi="Times New Roman" w:eastAsia="宋体"/>
                <w:color w:val="auto"/>
                <w:sz w:val="21"/>
                <w:szCs w:val="21"/>
              </w:rPr>
              <w:t>样品编号</w:t>
            </w:r>
          </w:p>
        </w:tc>
        <w:tc>
          <w:tcPr>
            <w:tcW w:w="1776" w:type="dxa"/>
            <w:tcBorders>
              <w:bottom w:val="single" w:color="auto" w:sz="8" w:space="0"/>
            </w:tcBorders>
            <w:vAlign w:val="center"/>
          </w:tcPr>
          <w:p w14:paraId="5AFB5E8C">
            <w:pPr>
              <w:spacing w:line="360" w:lineRule="exact"/>
              <w:jc w:val="center"/>
              <w:rPr>
                <w:rFonts w:ascii="Times New Roman" w:hAnsi="Times New Roman" w:eastAsia="宋体"/>
                <w:color w:val="auto"/>
                <w:sz w:val="21"/>
                <w:szCs w:val="21"/>
              </w:rPr>
            </w:pPr>
            <w:r>
              <w:rPr>
                <w:rFonts w:ascii="Times New Roman" w:hAnsi="Times New Roman" w:eastAsia="宋体"/>
                <w:color w:val="auto"/>
                <w:sz w:val="21"/>
                <w:szCs w:val="21"/>
              </w:rPr>
              <w:t>结果（mg/m</w:t>
            </w:r>
            <w:r>
              <w:rPr>
                <w:rFonts w:ascii="Times New Roman" w:hAnsi="Times New Roman" w:eastAsia="宋体"/>
                <w:color w:val="auto"/>
                <w:sz w:val="21"/>
                <w:szCs w:val="21"/>
                <w:vertAlign w:val="superscript"/>
              </w:rPr>
              <w:t>3</w:t>
            </w:r>
            <w:r>
              <w:rPr>
                <w:rFonts w:ascii="Times New Roman" w:hAnsi="Times New Roman" w:eastAsia="宋体"/>
                <w:color w:val="auto"/>
                <w:sz w:val="21"/>
                <w:szCs w:val="21"/>
              </w:rPr>
              <w:t>）</w:t>
            </w:r>
          </w:p>
        </w:tc>
        <w:tc>
          <w:tcPr>
            <w:tcW w:w="1161" w:type="dxa"/>
            <w:tcBorders>
              <w:bottom w:val="single" w:color="auto" w:sz="8" w:space="0"/>
            </w:tcBorders>
            <w:vAlign w:val="center"/>
          </w:tcPr>
          <w:p w14:paraId="4515D518">
            <w:pPr>
              <w:spacing w:line="360" w:lineRule="exact"/>
              <w:jc w:val="center"/>
              <w:rPr>
                <w:rFonts w:ascii="Times New Roman" w:hAnsi="Times New Roman" w:eastAsia="宋体"/>
                <w:color w:val="auto"/>
                <w:sz w:val="21"/>
                <w:szCs w:val="21"/>
              </w:rPr>
            </w:pPr>
            <w:r>
              <w:rPr>
                <w:rFonts w:ascii="Times New Roman" w:hAnsi="Times New Roman" w:eastAsia="宋体"/>
                <w:color w:val="auto"/>
                <w:sz w:val="21"/>
                <w:szCs w:val="21"/>
              </w:rPr>
              <w:t>中位数</w:t>
            </w:r>
          </w:p>
        </w:tc>
      </w:tr>
      <w:tr w14:paraId="1B8E315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1238" w:type="dxa"/>
            <w:vMerge w:val="restart"/>
            <w:tcBorders>
              <w:top w:val="single" w:color="auto" w:sz="8" w:space="0"/>
              <w:tl2br w:val="nil"/>
              <w:tr2bl w:val="nil"/>
            </w:tcBorders>
            <w:vAlign w:val="center"/>
          </w:tcPr>
          <w:p w14:paraId="56248856">
            <w:pPr>
              <w:widowControl w:val="0"/>
              <w:shd w:val="clear" w:color="auto" w:fill="FFFFFF"/>
              <w:spacing w:line="360" w:lineRule="auto"/>
              <w:jc w:val="center"/>
              <w:rPr>
                <w:rFonts w:ascii="Times New Roman" w:hAnsi="Times New Roman" w:eastAsia="宋体"/>
                <w:color w:val="auto"/>
                <w:sz w:val="21"/>
                <w:szCs w:val="21"/>
              </w:rPr>
            </w:pPr>
            <w:r>
              <w:rPr>
                <w:rFonts w:ascii="Times New Roman" w:hAnsi="Times New Roman" w:eastAsia="宋体"/>
                <w:color w:val="auto"/>
                <w:sz w:val="21"/>
                <w:szCs w:val="21"/>
              </w:rPr>
              <w:t>储存</w:t>
            </w:r>
          </w:p>
        </w:tc>
        <w:tc>
          <w:tcPr>
            <w:tcW w:w="1238" w:type="dxa"/>
            <w:tcBorders>
              <w:top w:val="single" w:color="auto" w:sz="8" w:space="0"/>
              <w:tl2br w:val="nil"/>
              <w:tr2bl w:val="nil"/>
            </w:tcBorders>
            <w:vAlign w:val="center"/>
          </w:tcPr>
          <w:p w14:paraId="1E50740D">
            <w:pPr>
              <w:widowControl w:val="0"/>
              <w:shd w:val="clear" w:color="auto" w:fill="FFFFFF"/>
              <w:spacing w:line="360" w:lineRule="auto"/>
              <w:jc w:val="center"/>
              <w:rPr>
                <w:rFonts w:ascii="Times New Roman" w:hAnsi="Times New Roman" w:eastAsia="宋体"/>
                <w:color w:val="auto"/>
                <w:sz w:val="21"/>
                <w:szCs w:val="21"/>
              </w:rPr>
            </w:pPr>
            <w:r>
              <w:rPr>
                <w:rFonts w:ascii="Times New Roman" w:hAnsi="Times New Roman" w:eastAsia="宋体"/>
                <w:color w:val="auto"/>
                <w:sz w:val="21"/>
                <w:szCs w:val="21"/>
              </w:rPr>
              <w:t>1-1</w:t>
            </w:r>
          </w:p>
        </w:tc>
        <w:tc>
          <w:tcPr>
            <w:tcW w:w="1776" w:type="dxa"/>
            <w:tcBorders>
              <w:top w:val="single" w:color="auto" w:sz="8" w:space="0"/>
              <w:tl2br w:val="nil"/>
              <w:tr2bl w:val="nil"/>
            </w:tcBorders>
            <w:vAlign w:val="center"/>
          </w:tcPr>
          <w:p w14:paraId="3687C4A0">
            <w:pPr>
              <w:widowControl w:val="0"/>
              <w:shd w:val="clear" w:color="auto" w:fill="FFFFFF"/>
              <w:spacing w:line="360" w:lineRule="auto"/>
              <w:jc w:val="center"/>
              <w:rPr>
                <w:rFonts w:ascii="Times New Roman" w:hAnsi="Times New Roman" w:eastAsia="宋体"/>
                <w:color w:val="auto"/>
                <w:sz w:val="21"/>
                <w:szCs w:val="21"/>
              </w:rPr>
            </w:pPr>
            <w:r>
              <w:rPr>
                <w:rFonts w:hint="eastAsia" w:ascii="Times New Roman" w:hAnsi="Times New Roman" w:eastAsia="宋体"/>
                <w:color w:val="auto"/>
                <w:sz w:val="21"/>
                <w:szCs w:val="21"/>
              </w:rPr>
              <w:t>0.0021</w:t>
            </w:r>
          </w:p>
        </w:tc>
        <w:tc>
          <w:tcPr>
            <w:tcW w:w="1161" w:type="dxa"/>
            <w:vMerge w:val="restart"/>
            <w:tcBorders>
              <w:top w:val="single" w:color="auto" w:sz="8" w:space="0"/>
              <w:tl2br w:val="nil"/>
              <w:tr2bl w:val="nil"/>
            </w:tcBorders>
            <w:vAlign w:val="center"/>
          </w:tcPr>
          <w:p w14:paraId="5A2051E7">
            <w:pPr>
              <w:widowControl w:val="0"/>
              <w:shd w:val="clear" w:color="auto" w:fill="FFFFFF"/>
              <w:spacing w:line="360" w:lineRule="auto"/>
              <w:jc w:val="center"/>
              <w:rPr>
                <w:rFonts w:ascii="Times New Roman" w:hAnsi="Times New Roman" w:eastAsia="宋体"/>
                <w:color w:val="auto"/>
                <w:sz w:val="21"/>
                <w:szCs w:val="21"/>
              </w:rPr>
            </w:pPr>
            <w:r>
              <w:rPr>
                <w:rFonts w:hint="eastAsia" w:ascii="Times New Roman" w:hAnsi="Times New Roman" w:eastAsia="宋体"/>
                <w:color w:val="auto"/>
                <w:sz w:val="21"/>
                <w:szCs w:val="21"/>
              </w:rPr>
              <w:t>0.0007</w:t>
            </w:r>
          </w:p>
        </w:tc>
      </w:tr>
      <w:tr w14:paraId="32828A9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1238" w:type="dxa"/>
            <w:vMerge w:val="continue"/>
            <w:tcBorders>
              <w:tl2br w:val="nil"/>
              <w:tr2bl w:val="nil"/>
            </w:tcBorders>
            <w:vAlign w:val="center"/>
          </w:tcPr>
          <w:p w14:paraId="11814855">
            <w:pPr>
              <w:widowControl w:val="0"/>
              <w:shd w:val="clear" w:color="auto" w:fill="FFFFFF"/>
              <w:spacing w:line="360" w:lineRule="auto"/>
              <w:jc w:val="center"/>
              <w:rPr>
                <w:rFonts w:ascii="Times New Roman" w:hAnsi="Times New Roman" w:eastAsia="宋体"/>
                <w:color w:val="auto"/>
                <w:sz w:val="21"/>
                <w:szCs w:val="21"/>
              </w:rPr>
            </w:pPr>
          </w:p>
        </w:tc>
        <w:tc>
          <w:tcPr>
            <w:tcW w:w="1238" w:type="dxa"/>
            <w:tcBorders>
              <w:tl2br w:val="nil"/>
              <w:tr2bl w:val="nil"/>
            </w:tcBorders>
            <w:vAlign w:val="center"/>
          </w:tcPr>
          <w:p w14:paraId="742B6573">
            <w:pPr>
              <w:widowControl w:val="0"/>
              <w:shd w:val="clear" w:color="auto" w:fill="FFFFFF"/>
              <w:spacing w:line="360" w:lineRule="auto"/>
              <w:jc w:val="center"/>
              <w:rPr>
                <w:rFonts w:ascii="Times New Roman" w:hAnsi="Times New Roman" w:eastAsia="宋体"/>
                <w:color w:val="auto"/>
                <w:sz w:val="21"/>
                <w:szCs w:val="21"/>
              </w:rPr>
            </w:pPr>
            <w:r>
              <w:rPr>
                <w:rFonts w:ascii="Times New Roman" w:hAnsi="Times New Roman" w:eastAsia="宋体"/>
                <w:color w:val="auto"/>
                <w:sz w:val="21"/>
                <w:szCs w:val="21"/>
              </w:rPr>
              <w:t>1-2</w:t>
            </w:r>
          </w:p>
        </w:tc>
        <w:tc>
          <w:tcPr>
            <w:tcW w:w="1776" w:type="dxa"/>
            <w:tcBorders>
              <w:tl2br w:val="nil"/>
              <w:tr2bl w:val="nil"/>
            </w:tcBorders>
            <w:vAlign w:val="center"/>
          </w:tcPr>
          <w:p w14:paraId="77A3D954">
            <w:pPr>
              <w:widowControl w:val="0"/>
              <w:shd w:val="clear" w:color="auto" w:fill="FFFFFF"/>
              <w:spacing w:line="360" w:lineRule="auto"/>
              <w:jc w:val="center"/>
              <w:rPr>
                <w:rFonts w:ascii="Times New Roman" w:hAnsi="Times New Roman" w:eastAsia="宋体"/>
                <w:color w:val="auto"/>
                <w:sz w:val="21"/>
                <w:szCs w:val="21"/>
              </w:rPr>
            </w:pPr>
            <w:r>
              <w:rPr>
                <w:rFonts w:hint="eastAsia" w:ascii="Times New Roman" w:hAnsi="Times New Roman" w:eastAsia="宋体"/>
                <w:color w:val="auto"/>
                <w:sz w:val="21"/>
                <w:szCs w:val="21"/>
              </w:rPr>
              <w:t>0.0007</w:t>
            </w:r>
          </w:p>
        </w:tc>
        <w:tc>
          <w:tcPr>
            <w:tcW w:w="1161" w:type="dxa"/>
            <w:vMerge w:val="continue"/>
            <w:tcBorders>
              <w:tl2br w:val="nil"/>
              <w:tr2bl w:val="nil"/>
            </w:tcBorders>
            <w:vAlign w:val="center"/>
          </w:tcPr>
          <w:p w14:paraId="09EE7A13">
            <w:pPr>
              <w:widowControl w:val="0"/>
              <w:shd w:val="clear" w:color="auto" w:fill="FFFFFF"/>
              <w:spacing w:line="360" w:lineRule="auto"/>
              <w:jc w:val="center"/>
              <w:rPr>
                <w:rFonts w:ascii="Times New Roman" w:hAnsi="Times New Roman" w:eastAsia="宋体"/>
                <w:color w:val="auto"/>
                <w:sz w:val="21"/>
                <w:szCs w:val="21"/>
              </w:rPr>
            </w:pPr>
          </w:p>
        </w:tc>
      </w:tr>
      <w:tr w14:paraId="6309AC3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1238" w:type="dxa"/>
            <w:vMerge w:val="continue"/>
            <w:tcBorders>
              <w:tl2br w:val="nil"/>
              <w:tr2bl w:val="nil"/>
            </w:tcBorders>
            <w:vAlign w:val="center"/>
          </w:tcPr>
          <w:p w14:paraId="45791B15">
            <w:pPr>
              <w:widowControl w:val="0"/>
              <w:shd w:val="clear" w:color="auto" w:fill="FFFFFF"/>
              <w:spacing w:line="360" w:lineRule="auto"/>
              <w:jc w:val="center"/>
              <w:rPr>
                <w:rFonts w:ascii="Times New Roman" w:hAnsi="Times New Roman" w:eastAsia="宋体"/>
                <w:color w:val="auto"/>
                <w:sz w:val="21"/>
                <w:szCs w:val="21"/>
              </w:rPr>
            </w:pPr>
          </w:p>
        </w:tc>
        <w:tc>
          <w:tcPr>
            <w:tcW w:w="1238" w:type="dxa"/>
            <w:tcBorders>
              <w:tl2br w:val="nil"/>
              <w:tr2bl w:val="nil"/>
            </w:tcBorders>
            <w:vAlign w:val="center"/>
          </w:tcPr>
          <w:p w14:paraId="44692F01">
            <w:pPr>
              <w:widowControl w:val="0"/>
              <w:shd w:val="clear" w:color="auto" w:fill="FFFFFF"/>
              <w:spacing w:line="360" w:lineRule="auto"/>
              <w:jc w:val="center"/>
              <w:rPr>
                <w:rFonts w:ascii="Times New Roman" w:hAnsi="Times New Roman" w:eastAsia="宋体"/>
                <w:color w:val="auto"/>
                <w:sz w:val="21"/>
                <w:szCs w:val="21"/>
              </w:rPr>
            </w:pPr>
            <w:r>
              <w:rPr>
                <w:rFonts w:ascii="Times New Roman" w:hAnsi="Times New Roman" w:eastAsia="宋体"/>
                <w:color w:val="auto"/>
                <w:sz w:val="21"/>
                <w:szCs w:val="21"/>
              </w:rPr>
              <w:t>1-3</w:t>
            </w:r>
          </w:p>
        </w:tc>
        <w:tc>
          <w:tcPr>
            <w:tcW w:w="1776" w:type="dxa"/>
            <w:tcBorders>
              <w:tl2br w:val="nil"/>
              <w:tr2bl w:val="nil"/>
            </w:tcBorders>
            <w:vAlign w:val="center"/>
          </w:tcPr>
          <w:p w14:paraId="48EE5FF3">
            <w:pPr>
              <w:widowControl w:val="0"/>
              <w:shd w:val="clear" w:color="auto" w:fill="FFFFFF"/>
              <w:spacing w:line="360" w:lineRule="auto"/>
              <w:jc w:val="center"/>
              <w:rPr>
                <w:rFonts w:ascii="Times New Roman" w:hAnsi="Times New Roman" w:eastAsia="宋体"/>
                <w:color w:val="auto"/>
                <w:sz w:val="21"/>
                <w:szCs w:val="21"/>
              </w:rPr>
            </w:pPr>
            <w:r>
              <w:rPr>
                <w:rFonts w:hint="eastAsia" w:ascii="Times New Roman" w:hAnsi="Times New Roman" w:eastAsia="宋体"/>
                <w:color w:val="auto"/>
                <w:sz w:val="21"/>
                <w:szCs w:val="21"/>
              </w:rPr>
              <w:t>0.0003</w:t>
            </w:r>
          </w:p>
        </w:tc>
        <w:tc>
          <w:tcPr>
            <w:tcW w:w="1161" w:type="dxa"/>
            <w:vMerge w:val="continue"/>
            <w:tcBorders>
              <w:tl2br w:val="nil"/>
              <w:tr2bl w:val="nil"/>
            </w:tcBorders>
            <w:vAlign w:val="center"/>
          </w:tcPr>
          <w:p w14:paraId="1741F29B">
            <w:pPr>
              <w:widowControl w:val="0"/>
              <w:shd w:val="clear" w:color="auto" w:fill="FFFFFF"/>
              <w:spacing w:line="360" w:lineRule="auto"/>
              <w:jc w:val="center"/>
              <w:rPr>
                <w:rFonts w:ascii="Times New Roman" w:hAnsi="Times New Roman" w:eastAsia="宋体"/>
                <w:color w:val="auto"/>
                <w:sz w:val="21"/>
                <w:szCs w:val="21"/>
              </w:rPr>
            </w:pPr>
          </w:p>
        </w:tc>
      </w:tr>
      <w:tr w14:paraId="0006B18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1238" w:type="dxa"/>
            <w:vMerge w:val="continue"/>
            <w:tcBorders>
              <w:tl2br w:val="nil"/>
              <w:tr2bl w:val="nil"/>
            </w:tcBorders>
            <w:vAlign w:val="center"/>
          </w:tcPr>
          <w:p w14:paraId="10809D8B">
            <w:pPr>
              <w:widowControl w:val="0"/>
              <w:shd w:val="clear" w:color="auto" w:fill="FFFFFF"/>
              <w:spacing w:line="360" w:lineRule="auto"/>
              <w:jc w:val="center"/>
              <w:rPr>
                <w:rFonts w:ascii="Times New Roman" w:hAnsi="Times New Roman" w:eastAsia="宋体"/>
                <w:color w:val="auto"/>
                <w:sz w:val="21"/>
                <w:szCs w:val="21"/>
              </w:rPr>
            </w:pPr>
          </w:p>
        </w:tc>
        <w:tc>
          <w:tcPr>
            <w:tcW w:w="1238" w:type="dxa"/>
            <w:tcBorders>
              <w:tl2br w:val="nil"/>
              <w:tr2bl w:val="nil"/>
            </w:tcBorders>
            <w:vAlign w:val="center"/>
          </w:tcPr>
          <w:p w14:paraId="168FBD8A">
            <w:pPr>
              <w:widowControl w:val="0"/>
              <w:shd w:val="clear" w:color="auto" w:fill="FFFFFF"/>
              <w:spacing w:line="360" w:lineRule="auto"/>
              <w:jc w:val="center"/>
              <w:rPr>
                <w:rFonts w:ascii="Times New Roman" w:hAnsi="Times New Roman" w:eastAsia="宋体"/>
                <w:color w:val="auto"/>
                <w:sz w:val="21"/>
                <w:szCs w:val="21"/>
              </w:rPr>
            </w:pPr>
            <w:r>
              <w:rPr>
                <w:rFonts w:ascii="Times New Roman" w:hAnsi="Times New Roman" w:eastAsia="宋体"/>
                <w:color w:val="auto"/>
                <w:sz w:val="21"/>
                <w:szCs w:val="21"/>
              </w:rPr>
              <w:t>1-4</w:t>
            </w:r>
          </w:p>
        </w:tc>
        <w:tc>
          <w:tcPr>
            <w:tcW w:w="1776" w:type="dxa"/>
            <w:tcBorders>
              <w:tl2br w:val="nil"/>
              <w:tr2bl w:val="nil"/>
            </w:tcBorders>
            <w:vAlign w:val="center"/>
          </w:tcPr>
          <w:p w14:paraId="6AACEA6D">
            <w:pPr>
              <w:widowControl w:val="0"/>
              <w:shd w:val="clear" w:color="auto" w:fill="FFFFFF"/>
              <w:spacing w:line="360" w:lineRule="auto"/>
              <w:jc w:val="center"/>
              <w:rPr>
                <w:rFonts w:ascii="Times New Roman" w:hAnsi="Times New Roman" w:eastAsia="宋体"/>
                <w:color w:val="auto"/>
                <w:sz w:val="21"/>
                <w:szCs w:val="21"/>
              </w:rPr>
            </w:pPr>
            <w:r>
              <w:rPr>
                <w:rFonts w:hint="eastAsia" w:ascii="Times New Roman" w:hAnsi="Times New Roman" w:eastAsia="宋体"/>
                <w:color w:val="auto"/>
                <w:sz w:val="21"/>
                <w:szCs w:val="21"/>
              </w:rPr>
              <w:t>0.0004</w:t>
            </w:r>
          </w:p>
        </w:tc>
        <w:tc>
          <w:tcPr>
            <w:tcW w:w="1161" w:type="dxa"/>
            <w:vMerge w:val="continue"/>
            <w:tcBorders>
              <w:tl2br w:val="nil"/>
              <w:tr2bl w:val="nil"/>
            </w:tcBorders>
            <w:vAlign w:val="center"/>
          </w:tcPr>
          <w:p w14:paraId="4DC0D609">
            <w:pPr>
              <w:widowControl w:val="0"/>
              <w:shd w:val="clear" w:color="auto" w:fill="FFFFFF"/>
              <w:spacing w:line="360" w:lineRule="auto"/>
              <w:jc w:val="center"/>
              <w:rPr>
                <w:rFonts w:ascii="Times New Roman" w:hAnsi="Times New Roman" w:eastAsia="宋体"/>
                <w:color w:val="auto"/>
                <w:sz w:val="21"/>
                <w:szCs w:val="21"/>
              </w:rPr>
            </w:pPr>
          </w:p>
        </w:tc>
      </w:tr>
      <w:tr w14:paraId="7809E66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1238" w:type="dxa"/>
            <w:vMerge w:val="continue"/>
            <w:tcBorders>
              <w:tl2br w:val="nil"/>
              <w:tr2bl w:val="nil"/>
            </w:tcBorders>
            <w:vAlign w:val="center"/>
          </w:tcPr>
          <w:p w14:paraId="6122F762">
            <w:pPr>
              <w:widowControl w:val="0"/>
              <w:shd w:val="clear" w:color="auto" w:fill="FFFFFF"/>
              <w:spacing w:line="360" w:lineRule="auto"/>
              <w:jc w:val="center"/>
              <w:rPr>
                <w:rFonts w:ascii="Times New Roman" w:hAnsi="Times New Roman" w:eastAsia="宋体"/>
                <w:color w:val="auto"/>
                <w:sz w:val="21"/>
                <w:szCs w:val="21"/>
              </w:rPr>
            </w:pPr>
          </w:p>
        </w:tc>
        <w:tc>
          <w:tcPr>
            <w:tcW w:w="1238" w:type="dxa"/>
            <w:tcBorders>
              <w:tl2br w:val="nil"/>
              <w:tr2bl w:val="nil"/>
            </w:tcBorders>
            <w:vAlign w:val="center"/>
          </w:tcPr>
          <w:p w14:paraId="74874578">
            <w:pPr>
              <w:widowControl w:val="0"/>
              <w:shd w:val="clear" w:color="auto" w:fill="FFFFFF"/>
              <w:spacing w:line="360" w:lineRule="auto"/>
              <w:jc w:val="center"/>
              <w:rPr>
                <w:rFonts w:ascii="Times New Roman" w:hAnsi="Times New Roman" w:eastAsia="宋体"/>
                <w:color w:val="auto"/>
                <w:sz w:val="21"/>
                <w:szCs w:val="21"/>
              </w:rPr>
            </w:pPr>
            <w:r>
              <w:rPr>
                <w:rFonts w:ascii="Times New Roman" w:hAnsi="Times New Roman" w:eastAsia="宋体"/>
                <w:color w:val="auto"/>
                <w:sz w:val="21"/>
                <w:szCs w:val="21"/>
              </w:rPr>
              <w:t>1-5</w:t>
            </w:r>
          </w:p>
        </w:tc>
        <w:tc>
          <w:tcPr>
            <w:tcW w:w="1776" w:type="dxa"/>
            <w:tcBorders>
              <w:tl2br w:val="nil"/>
              <w:tr2bl w:val="nil"/>
            </w:tcBorders>
            <w:vAlign w:val="center"/>
          </w:tcPr>
          <w:p w14:paraId="2B9E0944">
            <w:pPr>
              <w:widowControl w:val="0"/>
              <w:shd w:val="clear" w:color="auto" w:fill="FFFFFF"/>
              <w:spacing w:line="360" w:lineRule="auto"/>
              <w:jc w:val="center"/>
              <w:rPr>
                <w:rFonts w:ascii="Times New Roman" w:hAnsi="Times New Roman" w:eastAsia="宋体"/>
                <w:color w:val="auto"/>
                <w:sz w:val="21"/>
                <w:szCs w:val="21"/>
              </w:rPr>
            </w:pPr>
            <w:r>
              <w:rPr>
                <w:rFonts w:hint="eastAsia" w:ascii="Times New Roman" w:hAnsi="Times New Roman" w:eastAsia="宋体"/>
                <w:color w:val="auto"/>
                <w:sz w:val="21"/>
                <w:szCs w:val="21"/>
              </w:rPr>
              <w:t>0.0010</w:t>
            </w:r>
          </w:p>
        </w:tc>
        <w:tc>
          <w:tcPr>
            <w:tcW w:w="1161" w:type="dxa"/>
            <w:vMerge w:val="continue"/>
            <w:tcBorders>
              <w:tl2br w:val="nil"/>
              <w:tr2bl w:val="nil"/>
            </w:tcBorders>
            <w:vAlign w:val="center"/>
          </w:tcPr>
          <w:p w14:paraId="2D22F8DB">
            <w:pPr>
              <w:widowControl w:val="0"/>
              <w:shd w:val="clear" w:color="auto" w:fill="FFFFFF"/>
              <w:spacing w:line="360" w:lineRule="auto"/>
              <w:jc w:val="center"/>
              <w:rPr>
                <w:rFonts w:ascii="Times New Roman" w:hAnsi="Times New Roman" w:eastAsia="宋体"/>
                <w:color w:val="auto"/>
                <w:sz w:val="21"/>
                <w:szCs w:val="21"/>
              </w:rPr>
            </w:pPr>
          </w:p>
        </w:tc>
      </w:tr>
    </w:tbl>
    <w:p w14:paraId="0C754195">
      <w:pPr>
        <w:pStyle w:val="2"/>
        <w:spacing w:before="156" w:beforeLines="50" w:after="0" w:line="500" w:lineRule="exact"/>
        <w:ind w:firstLine="640" w:firstLineChars="200"/>
        <w:rPr>
          <w:rFonts w:eastAsia="黑体"/>
          <w:b w:val="0"/>
          <w:bCs w:val="0"/>
          <w:color w:val="auto"/>
          <w:kern w:val="2"/>
          <w:sz w:val="32"/>
          <w:szCs w:val="32"/>
        </w:rPr>
      </w:pPr>
      <w:r>
        <w:rPr>
          <w:rFonts w:hint="eastAsia" w:eastAsia="黑体"/>
          <w:b w:val="0"/>
          <w:bCs w:val="0"/>
          <w:color w:val="auto"/>
          <w:kern w:val="2"/>
          <w:sz w:val="32"/>
          <w:szCs w:val="32"/>
          <w:lang w:val="en-US" w:eastAsia="zh-CN"/>
        </w:rPr>
        <w:t>7、</w:t>
      </w:r>
      <w:r>
        <w:rPr>
          <w:rFonts w:hint="eastAsia" w:eastAsia="黑体"/>
          <w:b w:val="0"/>
          <w:bCs w:val="0"/>
          <w:color w:val="auto"/>
          <w:kern w:val="2"/>
          <w:sz w:val="32"/>
          <w:szCs w:val="32"/>
        </w:rPr>
        <w:t>方法验证</w:t>
      </w:r>
    </w:p>
    <w:p w14:paraId="6CE1835E">
      <w:pPr>
        <w:pStyle w:val="19"/>
        <w:keepNext w:val="0"/>
        <w:keepLines w:val="0"/>
        <w:pageBreakBefore w:val="0"/>
        <w:widowControl/>
        <w:kinsoku/>
        <w:wordWrap/>
        <w:overflowPunct/>
        <w:topLinePunct w:val="0"/>
        <w:autoSpaceDE/>
        <w:autoSpaceDN/>
        <w:bidi w:val="0"/>
        <w:adjustRightInd/>
        <w:snapToGrid/>
        <w:spacing w:line="460" w:lineRule="exact"/>
        <w:ind w:firstLine="560" w:firstLineChars="200"/>
        <w:textAlignment w:val="auto"/>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8"/>
          <w:szCs w:val="28"/>
        </w:rPr>
        <w:t>经三家有资质单位验证，本方法的精密度、准确度、洗脱效率的指标满足标准GBZ/T 210.4的各项要求。具体验证结果见表1</w:t>
      </w:r>
      <w:r>
        <w:rPr>
          <w:rFonts w:hint="eastAsia" w:ascii="Times New Roman" w:hAnsi="Times New Roman" w:eastAsia="仿宋" w:cs="Times New Roman"/>
          <w:color w:val="auto"/>
          <w:kern w:val="2"/>
          <w:sz w:val="28"/>
          <w:szCs w:val="28"/>
          <w:lang w:val="en-US" w:eastAsia="zh-CN"/>
        </w:rPr>
        <w:t>3</w:t>
      </w:r>
      <w:r>
        <w:rPr>
          <w:rFonts w:hint="eastAsia" w:ascii="Times New Roman" w:hAnsi="Times New Roman" w:eastAsia="仿宋" w:cs="Times New Roman"/>
          <w:color w:val="auto"/>
          <w:kern w:val="2"/>
          <w:sz w:val="28"/>
          <w:szCs w:val="28"/>
        </w:rPr>
        <w:t>-表1</w:t>
      </w:r>
      <w:r>
        <w:rPr>
          <w:rFonts w:hint="eastAsia" w:ascii="Times New Roman" w:hAnsi="Times New Roman" w:eastAsia="仿宋" w:cs="Times New Roman"/>
          <w:color w:val="auto"/>
          <w:kern w:val="2"/>
          <w:sz w:val="28"/>
          <w:szCs w:val="28"/>
          <w:lang w:val="en-US" w:eastAsia="zh-CN"/>
        </w:rPr>
        <w:t>6</w:t>
      </w:r>
      <w:r>
        <w:rPr>
          <w:rFonts w:hint="eastAsia" w:ascii="Times New Roman" w:hAnsi="Times New Roman" w:eastAsia="仿宋" w:cs="Times New Roman"/>
          <w:color w:val="auto"/>
          <w:kern w:val="2"/>
          <w:sz w:val="28"/>
          <w:szCs w:val="28"/>
        </w:rPr>
        <w:t>。</w:t>
      </w:r>
    </w:p>
    <w:p w14:paraId="15D5AF0C">
      <w:pPr>
        <w:pStyle w:val="19"/>
        <w:spacing w:line="460" w:lineRule="exact"/>
        <w:ind w:firstLine="420" w:firstLineChars="200"/>
        <w:jc w:val="center"/>
        <w:rPr>
          <w:rFonts w:ascii="Times New Roman" w:hAnsi="Times New Roman" w:eastAsia="仿宋" w:cs="Times New Roman"/>
          <w:color w:val="auto"/>
          <w:kern w:val="2"/>
          <w:sz w:val="28"/>
          <w:szCs w:val="28"/>
        </w:rPr>
      </w:pPr>
      <w:r>
        <w:rPr>
          <w:rFonts w:hint="eastAsia" w:ascii="Times New Roman" w:hAnsi="Times New Roman" w:eastAsia="仿宋" w:cs="Times New Roman"/>
          <w:color w:val="auto"/>
          <w:kern w:val="2"/>
          <w:sz w:val="21"/>
          <w:szCs w:val="21"/>
        </w:rPr>
        <w:t>表1</w:t>
      </w:r>
      <w:r>
        <w:rPr>
          <w:rFonts w:hint="eastAsia" w:ascii="Times New Roman" w:hAnsi="Times New Roman" w:eastAsia="仿宋" w:cs="Times New Roman"/>
          <w:color w:val="auto"/>
          <w:kern w:val="2"/>
          <w:sz w:val="21"/>
          <w:szCs w:val="21"/>
          <w:lang w:val="en-US" w:eastAsia="zh-CN"/>
        </w:rPr>
        <w:t>3</w:t>
      </w:r>
      <w:r>
        <w:rPr>
          <w:rFonts w:ascii="Times New Roman" w:hAnsi="Times New Roman" w:eastAsia="仿宋" w:cs="Times New Roman"/>
          <w:color w:val="auto"/>
          <w:kern w:val="2"/>
          <w:sz w:val="21"/>
          <w:szCs w:val="21"/>
        </w:rPr>
        <w:t xml:space="preserve"> </w:t>
      </w:r>
      <w:r>
        <w:rPr>
          <w:rFonts w:hint="eastAsia" w:ascii="Times New Roman" w:hAnsi="Times New Roman" w:eastAsia="仿宋" w:cs="Times New Roman"/>
          <w:color w:val="auto"/>
          <w:kern w:val="2"/>
          <w:sz w:val="21"/>
          <w:szCs w:val="21"/>
        </w:rPr>
        <w:t>三家验证单位验证结果</w:t>
      </w:r>
    </w:p>
    <w:tbl>
      <w:tblPr>
        <w:tblStyle w:val="22"/>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64"/>
        <w:gridCol w:w="1818"/>
        <w:gridCol w:w="1739"/>
        <w:gridCol w:w="1899"/>
      </w:tblGrid>
      <w:tr w14:paraId="18A8886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tcBorders>
              <w:top w:val="single" w:color="auto" w:sz="12" w:space="0"/>
              <w:bottom w:val="single" w:color="auto" w:sz="8" w:space="0"/>
            </w:tcBorders>
            <w:vAlign w:val="center"/>
          </w:tcPr>
          <w:p w14:paraId="1661D8E0">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单位</w:t>
            </w:r>
          </w:p>
        </w:tc>
        <w:tc>
          <w:tcPr>
            <w:tcW w:w="1818" w:type="dxa"/>
            <w:tcBorders>
              <w:top w:val="single" w:color="auto" w:sz="12" w:space="0"/>
              <w:bottom w:val="single" w:color="auto" w:sz="8" w:space="0"/>
            </w:tcBorders>
            <w:vAlign w:val="center"/>
          </w:tcPr>
          <w:p w14:paraId="56DD1EF5">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淮安疾控</w:t>
            </w:r>
          </w:p>
        </w:tc>
        <w:tc>
          <w:tcPr>
            <w:tcW w:w="1739" w:type="dxa"/>
            <w:tcBorders>
              <w:top w:val="single" w:color="auto" w:sz="12" w:space="0"/>
              <w:bottom w:val="single" w:color="auto" w:sz="8" w:space="0"/>
            </w:tcBorders>
            <w:vAlign w:val="center"/>
          </w:tcPr>
          <w:p w14:paraId="3BA6068B">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宿迁疾控</w:t>
            </w:r>
          </w:p>
        </w:tc>
        <w:tc>
          <w:tcPr>
            <w:tcW w:w="1899" w:type="dxa"/>
            <w:tcBorders>
              <w:top w:val="single" w:color="auto" w:sz="12" w:space="0"/>
              <w:bottom w:val="single" w:color="auto" w:sz="8" w:space="0"/>
            </w:tcBorders>
            <w:vAlign w:val="center"/>
          </w:tcPr>
          <w:p w14:paraId="767F4153">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昆山疾控</w:t>
            </w:r>
          </w:p>
        </w:tc>
      </w:tr>
      <w:tr w14:paraId="333B32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tcBorders>
              <w:top w:val="single" w:color="auto" w:sz="8" w:space="0"/>
            </w:tcBorders>
            <w:vAlign w:val="center"/>
          </w:tcPr>
          <w:p w14:paraId="229BF044">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线性范围</w:t>
            </w:r>
          </w:p>
        </w:tc>
        <w:tc>
          <w:tcPr>
            <w:tcW w:w="1818" w:type="dxa"/>
            <w:tcBorders>
              <w:top w:val="single" w:color="auto" w:sz="8" w:space="0"/>
            </w:tcBorders>
            <w:vAlign w:val="center"/>
          </w:tcPr>
          <w:p w14:paraId="160A025D">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0.0</w:t>
            </w:r>
            <w:r>
              <w:rPr>
                <w:rFonts w:hint="eastAsia" w:ascii="Times New Roman" w:hAnsi="Times New Roman" w:eastAsia="仿宋" w:cs="Times New Roman"/>
                <w:color w:val="auto"/>
                <w:kern w:val="2"/>
                <w:sz w:val="21"/>
                <w:szCs w:val="21"/>
              </w:rPr>
              <w:t>5</w:t>
            </w:r>
            <w:r>
              <w:rPr>
                <w:rFonts w:ascii="Times New Roman" w:hAnsi="Times New Roman" w:eastAsia="仿宋" w:cs="Times New Roman"/>
                <w:color w:val="auto"/>
                <w:kern w:val="2"/>
                <w:sz w:val="21"/>
                <w:szCs w:val="21"/>
              </w:rPr>
              <w:t xml:space="preserve"> ~</w:t>
            </w:r>
            <w:r>
              <w:rPr>
                <w:rFonts w:hint="eastAsia" w:ascii="Times New Roman" w:hAnsi="Times New Roman" w:eastAsia="仿宋" w:cs="Times New Roman"/>
                <w:color w:val="auto"/>
                <w:kern w:val="2"/>
                <w:sz w:val="21"/>
                <w:szCs w:val="21"/>
              </w:rPr>
              <w:t>1.0</w:t>
            </w:r>
            <w:r>
              <w:rPr>
                <w:rFonts w:ascii="Times New Roman" w:hAnsi="Times New Roman" w:eastAsia="仿宋" w:cs="Times New Roman"/>
                <w:color w:val="auto"/>
                <w:kern w:val="2"/>
                <w:sz w:val="21"/>
                <w:szCs w:val="21"/>
              </w:rPr>
              <w:t>4 μg/mL</w:t>
            </w:r>
          </w:p>
        </w:tc>
        <w:tc>
          <w:tcPr>
            <w:tcW w:w="1739" w:type="dxa"/>
            <w:tcBorders>
              <w:top w:val="single" w:color="auto" w:sz="8" w:space="0"/>
            </w:tcBorders>
            <w:vAlign w:val="center"/>
          </w:tcPr>
          <w:p w14:paraId="76E90F0D">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0.0</w:t>
            </w:r>
            <w:r>
              <w:rPr>
                <w:rFonts w:hint="eastAsia" w:ascii="Times New Roman" w:hAnsi="Times New Roman" w:eastAsia="仿宋" w:cs="Times New Roman"/>
                <w:color w:val="auto"/>
                <w:kern w:val="2"/>
                <w:sz w:val="21"/>
                <w:szCs w:val="21"/>
              </w:rPr>
              <w:t>5</w:t>
            </w:r>
            <w:r>
              <w:rPr>
                <w:rFonts w:ascii="Times New Roman" w:hAnsi="Times New Roman" w:eastAsia="仿宋" w:cs="Times New Roman"/>
                <w:color w:val="auto"/>
                <w:kern w:val="2"/>
                <w:sz w:val="21"/>
                <w:szCs w:val="21"/>
              </w:rPr>
              <w:t xml:space="preserve"> ~</w:t>
            </w:r>
            <w:r>
              <w:rPr>
                <w:rFonts w:hint="eastAsia" w:ascii="Times New Roman" w:hAnsi="Times New Roman" w:eastAsia="仿宋" w:cs="Times New Roman"/>
                <w:color w:val="auto"/>
                <w:kern w:val="2"/>
                <w:sz w:val="21"/>
                <w:szCs w:val="21"/>
              </w:rPr>
              <w:t>1.0</w:t>
            </w:r>
            <w:r>
              <w:rPr>
                <w:rFonts w:ascii="Times New Roman" w:hAnsi="Times New Roman" w:eastAsia="仿宋" w:cs="Times New Roman"/>
                <w:color w:val="auto"/>
                <w:kern w:val="2"/>
                <w:sz w:val="21"/>
                <w:szCs w:val="21"/>
              </w:rPr>
              <w:t>4 μg/mL</w:t>
            </w:r>
          </w:p>
        </w:tc>
        <w:tc>
          <w:tcPr>
            <w:tcW w:w="1899" w:type="dxa"/>
            <w:tcBorders>
              <w:top w:val="single" w:color="auto" w:sz="8" w:space="0"/>
            </w:tcBorders>
            <w:vAlign w:val="center"/>
          </w:tcPr>
          <w:p w14:paraId="2D484EF6">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0.0</w:t>
            </w:r>
            <w:r>
              <w:rPr>
                <w:rFonts w:hint="eastAsia" w:ascii="Times New Roman" w:hAnsi="Times New Roman" w:eastAsia="仿宋" w:cs="Times New Roman"/>
                <w:color w:val="auto"/>
                <w:kern w:val="2"/>
                <w:sz w:val="21"/>
                <w:szCs w:val="21"/>
              </w:rPr>
              <w:t>5</w:t>
            </w:r>
            <w:r>
              <w:rPr>
                <w:rFonts w:ascii="Times New Roman" w:hAnsi="Times New Roman" w:eastAsia="仿宋" w:cs="Times New Roman"/>
                <w:color w:val="auto"/>
                <w:kern w:val="2"/>
                <w:sz w:val="21"/>
                <w:szCs w:val="21"/>
              </w:rPr>
              <w:t xml:space="preserve"> ~</w:t>
            </w:r>
            <w:r>
              <w:rPr>
                <w:rFonts w:hint="eastAsia" w:ascii="Times New Roman" w:hAnsi="Times New Roman" w:eastAsia="仿宋" w:cs="Times New Roman"/>
                <w:color w:val="auto"/>
                <w:kern w:val="2"/>
                <w:sz w:val="21"/>
                <w:szCs w:val="21"/>
              </w:rPr>
              <w:t>1.0</w:t>
            </w:r>
            <w:r>
              <w:rPr>
                <w:rFonts w:ascii="Times New Roman" w:hAnsi="Times New Roman" w:eastAsia="仿宋" w:cs="Times New Roman"/>
                <w:color w:val="auto"/>
                <w:kern w:val="2"/>
                <w:sz w:val="21"/>
                <w:szCs w:val="21"/>
              </w:rPr>
              <w:t>4 μg/mL</w:t>
            </w:r>
          </w:p>
        </w:tc>
      </w:tr>
      <w:tr w14:paraId="58B8E7D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vAlign w:val="center"/>
          </w:tcPr>
          <w:p w14:paraId="468889D7">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回归方程</w:t>
            </w:r>
          </w:p>
        </w:tc>
        <w:tc>
          <w:tcPr>
            <w:tcW w:w="1818" w:type="dxa"/>
            <w:vAlign w:val="center"/>
          </w:tcPr>
          <w:p w14:paraId="0AB22AEF">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y</w:t>
            </w:r>
            <w:r>
              <w:rPr>
                <w:rFonts w:ascii="Times New Roman" w:hAnsi="Times New Roman" w:eastAsia="仿宋" w:cs="Times New Roman"/>
                <w:color w:val="auto"/>
                <w:kern w:val="2"/>
                <w:sz w:val="21"/>
                <w:szCs w:val="21"/>
              </w:rPr>
              <w:t>=</w:t>
            </w:r>
            <w:r>
              <w:rPr>
                <w:rFonts w:hint="eastAsia" w:ascii="Times New Roman" w:hAnsi="Times New Roman" w:eastAsia="仿宋" w:cs="Times New Roman"/>
                <w:color w:val="auto"/>
                <w:kern w:val="2"/>
                <w:sz w:val="21"/>
                <w:szCs w:val="21"/>
              </w:rPr>
              <w:t>0.0005x+0.1548</w:t>
            </w:r>
          </w:p>
        </w:tc>
        <w:tc>
          <w:tcPr>
            <w:tcW w:w="1739" w:type="dxa"/>
            <w:vAlign w:val="center"/>
          </w:tcPr>
          <w:p w14:paraId="03431F2F">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y=</w:t>
            </w:r>
            <w:r>
              <w:rPr>
                <w:rFonts w:hint="eastAsia" w:ascii="Times New Roman" w:hAnsi="Times New Roman" w:eastAsia="仿宋" w:cs="Times New Roman"/>
                <w:color w:val="auto"/>
                <w:kern w:val="2"/>
                <w:sz w:val="21"/>
                <w:szCs w:val="21"/>
              </w:rPr>
              <w:t>0.1127</w:t>
            </w:r>
            <w:r>
              <w:rPr>
                <w:rFonts w:ascii="Times New Roman" w:hAnsi="Times New Roman" w:eastAsia="仿宋" w:cs="Times New Roman"/>
                <w:color w:val="auto"/>
                <w:kern w:val="2"/>
                <w:sz w:val="21"/>
                <w:szCs w:val="21"/>
              </w:rPr>
              <w:t>x</w:t>
            </w:r>
            <w:r>
              <w:rPr>
                <w:rFonts w:hint="eastAsia" w:ascii="Times New Roman" w:hAnsi="Times New Roman" w:eastAsia="仿宋" w:cs="Times New Roman"/>
                <w:color w:val="auto"/>
                <w:kern w:val="2"/>
                <w:sz w:val="21"/>
                <w:szCs w:val="21"/>
              </w:rPr>
              <w:t>-0.004</w:t>
            </w:r>
          </w:p>
        </w:tc>
        <w:tc>
          <w:tcPr>
            <w:tcW w:w="1899" w:type="dxa"/>
            <w:vAlign w:val="center"/>
          </w:tcPr>
          <w:p w14:paraId="55993FA5">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y</w:t>
            </w:r>
            <w:r>
              <w:rPr>
                <w:rFonts w:ascii="Times New Roman" w:hAnsi="Times New Roman" w:eastAsia="仿宋" w:cs="Times New Roman"/>
                <w:color w:val="auto"/>
                <w:kern w:val="2"/>
                <w:sz w:val="21"/>
                <w:szCs w:val="21"/>
              </w:rPr>
              <w:t>=</w:t>
            </w:r>
            <w:r>
              <w:rPr>
                <w:rFonts w:hint="eastAsia" w:ascii="Times New Roman" w:hAnsi="Times New Roman" w:eastAsia="仿宋" w:cs="Times New Roman"/>
                <w:color w:val="auto"/>
                <w:kern w:val="2"/>
                <w:sz w:val="21"/>
                <w:szCs w:val="21"/>
              </w:rPr>
              <w:t>0.0743x-0.0014</w:t>
            </w:r>
          </w:p>
        </w:tc>
      </w:tr>
      <w:tr w14:paraId="42BFCC9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vAlign w:val="center"/>
          </w:tcPr>
          <w:p w14:paraId="67ED8FF8">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相关系数</w:t>
            </w:r>
          </w:p>
        </w:tc>
        <w:tc>
          <w:tcPr>
            <w:tcW w:w="1818" w:type="dxa"/>
            <w:vAlign w:val="center"/>
          </w:tcPr>
          <w:p w14:paraId="40CEF7EA">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0.999</w:t>
            </w:r>
            <w:r>
              <w:rPr>
                <w:rFonts w:hint="eastAsia" w:ascii="Times New Roman" w:hAnsi="Times New Roman" w:eastAsia="仿宋" w:cs="Times New Roman"/>
                <w:color w:val="auto"/>
                <w:kern w:val="2"/>
                <w:sz w:val="21"/>
                <w:szCs w:val="21"/>
              </w:rPr>
              <w:t>7</w:t>
            </w:r>
          </w:p>
        </w:tc>
        <w:tc>
          <w:tcPr>
            <w:tcW w:w="1739" w:type="dxa"/>
            <w:vAlign w:val="center"/>
          </w:tcPr>
          <w:p w14:paraId="7EF8D05C">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0.9997</w:t>
            </w:r>
          </w:p>
        </w:tc>
        <w:tc>
          <w:tcPr>
            <w:tcW w:w="1899" w:type="dxa"/>
            <w:vAlign w:val="center"/>
          </w:tcPr>
          <w:p w14:paraId="668FCCAD">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0.999</w:t>
            </w:r>
            <w:r>
              <w:rPr>
                <w:rFonts w:hint="eastAsia" w:ascii="Times New Roman" w:hAnsi="Times New Roman" w:eastAsia="仿宋" w:cs="Times New Roman"/>
                <w:color w:val="auto"/>
                <w:kern w:val="2"/>
                <w:sz w:val="21"/>
                <w:szCs w:val="21"/>
              </w:rPr>
              <w:t>4</w:t>
            </w:r>
          </w:p>
        </w:tc>
      </w:tr>
      <w:tr w14:paraId="60D6B2D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vAlign w:val="center"/>
          </w:tcPr>
          <w:p w14:paraId="54EAEB63">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最低检出浓度</w:t>
            </w:r>
          </w:p>
        </w:tc>
        <w:tc>
          <w:tcPr>
            <w:tcW w:w="1818" w:type="dxa"/>
            <w:vAlign w:val="center"/>
          </w:tcPr>
          <w:p w14:paraId="5D04CCA4">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0.0</w:t>
            </w:r>
            <w:r>
              <w:rPr>
                <w:rFonts w:hint="eastAsia" w:ascii="Times New Roman" w:hAnsi="Times New Roman" w:eastAsia="仿宋" w:cs="Times New Roman"/>
                <w:color w:val="auto"/>
                <w:kern w:val="2"/>
                <w:sz w:val="21"/>
                <w:szCs w:val="21"/>
              </w:rPr>
              <w:t>010</w:t>
            </w:r>
            <w:r>
              <w:rPr>
                <w:rFonts w:ascii="Times New Roman" w:hAnsi="Times New Roman" w:eastAsia="仿宋" w:cs="Times New Roman"/>
                <w:color w:val="auto"/>
                <w:kern w:val="2"/>
                <w:sz w:val="21"/>
                <w:szCs w:val="21"/>
              </w:rPr>
              <w:t xml:space="preserve"> mg/m</w:t>
            </w:r>
            <w:r>
              <w:rPr>
                <w:rFonts w:ascii="Times New Roman" w:hAnsi="Times New Roman" w:eastAsia="仿宋" w:cs="Times New Roman"/>
                <w:color w:val="auto"/>
                <w:kern w:val="2"/>
                <w:sz w:val="21"/>
                <w:szCs w:val="21"/>
                <w:vertAlign w:val="superscript"/>
              </w:rPr>
              <w:t>3</w:t>
            </w:r>
          </w:p>
        </w:tc>
        <w:tc>
          <w:tcPr>
            <w:tcW w:w="1739" w:type="dxa"/>
            <w:vAlign w:val="center"/>
          </w:tcPr>
          <w:p w14:paraId="6A22D481">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0.00</w:t>
            </w:r>
            <w:r>
              <w:rPr>
                <w:rFonts w:hint="eastAsia" w:ascii="Times New Roman" w:hAnsi="Times New Roman" w:eastAsia="仿宋" w:cs="Times New Roman"/>
                <w:color w:val="auto"/>
                <w:kern w:val="2"/>
                <w:sz w:val="21"/>
                <w:szCs w:val="21"/>
              </w:rPr>
              <w:t>37</w:t>
            </w:r>
            <w:r>
              <w:rPr>
                <w:rFonts w:ascii="Times New Roman" w:hAnsi="Times New Roman" w:eastAsia="仿宋" w:cs="Times New Roman"/>
                <w:color w:val="auto"/>
                <w:kern w:val="2"/>
                <w:sz w:val="21"/>
                <w:szCs w:val="21"/>
              </w:rPr>
              <w:t xml:space="preserve"> mg/m</w:t>
            </w:r>
            <w:r>
              <w:rPr>
                <w:rFonts w:ascii="Times New Roman" w:hAnsi="Times New Roman" w:eastAsia="仿宋" w:cs="Times New Roman"/>
                <w:color w:val="auto"/>
                <w:kern w:val="2"/>
                <w:sz w:val="21"/>
                <w:szCs w:val="21"/>
                <w:vertAlign w:val="superscript"/>
              </w:rPr>
              <w:t>3</w:t>
            </w:r>
          </w:p>
        </w:tc>
        <w:tc>
          <w:tcPr>
            <w:tcW w:w="1899" w:type="dxa"/>
            <w:vAlign w:val="center"/>
          </w:tcPr>
          <w:p w14:paraId="63D531E9">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0.00</w:t>
            </w:r>
            <w:r>
              <w:rPr>
                <w:rFonts w:hint="eastAsia" w:ascii="Times New Roman" w:hAnsi="Times New Roman" w:eastAsia="仿宋" w:cs="Times New Roman"/>
                <w:color w:val="auto"/>
                <w:kern w:val="2"/>
                <w:sz w:val="21"/>
                <w:szCs w:val="21"/>
              </w:rPr>
              <w:t>13</w:t>
            </w:r>
            <w:r>
              <w:rPr>
                <w:rFonts w:ascii="Times New Roman" w:hAnsi="Times New Roman" w:eastAsia="仿宋" w:cs="Times New Roman"/>
                <w:color w:val="auto"/>
                <w:kern w:val="2"/>
                <w:sz w:val="21"/>
                <w:szCs w:val="21"/>
              </w:rPr>
              <w:t xml:space="preserve"> mg/m</w:t>
            </w:r>
            <w:r>
              <w:rPr>
                <w:rFonts w:ascii="Times New Roman" w:hAnsi="Times New Roman" w:eastAsia="仿宋" w:cs="Times New Roman"/>
                <w:color w:val="auto"/>
                <w:kern w:val="2"/>
                <w:sz w:val="21"/>
                <w:szCs w:val="21"/>
                <w:vertAlign w:val="superscript"/>
              </w:rPr>
              <w:t>3</w:t>
            </w:r>
          </w:p>
        </w:tc>
      </w:tr>
      <w:tr w14:paraId="0002102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64" w:type="dxa"/>
            <w:vAlign w:val="center"/>
          </w:tcPr>
          <w:p w14:paraId="220A3492">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最低定量浓度</w:t>
            </w:r>
          </w:p>
        </w:tc>
        <w:tc>
          <w:tcPr>
            <w:tcW w:w="1818" w:type="dxa"/>
            <w:vAlign w:val="center"/>
          </w:tcPr>
          <w:p w14:paraId="0BB27FB5">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0.0</w:t>
            </w:r>
            <w:r>
              <w:rPr>
                <w:rFonts w:hint="eastAsia" w:ascii="Times New Roman" w:hAnsi="Times New Roman" w:eastAsia="仿宋" w:cs="Times New Roman"/>
                <w:color w:val="auto"/>
                <w:kern w:val="2"/>
                <w:sz w:val="21"/>
                <w:szCs w:val="21"/>
              </w:rPr>
              <w:t>033</w:t>
            </w:r>
            <w:r>
              <w:rPr>
                <w:rFonts w:ascii="Times New Roman" w:hAnsi="Times New Roman" w:eastAsia="仿宋" w:cs="Times New Roman"/>
                <w:color w:val="auto"/>
                <w:kern w:val="2"/>
                <w:sz w:val="21"/>
                <w:szCs w:val="21"/>
              </w:rPr>
              <w:t xml:space="preserve"> mg/m</w:t>
            </w:r>
            <w:r>
              <w:rPr>
                <w:rFonts w:ascii="Times New Roman" w:hAnsi="Times New Roman" w:eastAsia="仿宋" w:cs="Times New Roman"/>
                <w:color w:val="auto"/>
                <w:kern w:val="2"/>
                <w:sz w:val="21"/>
                <w:szCs w:val="21"/>
                <w:vertAlign w:val="superscript"/>
              </w:rPr>
              <w:t>3</w:t>
            </w:r>
          </w:p>
        </w:tc>
        <w:tc>
          <w:tcPr>
            <w:tcW w:w="1739" w:type="dxa"/>
            <w:vAlign w:val="center"/>
          </w:tcPr>
          <w:p w14:paraId="00FA7152">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0.0</w:t>
            </w:r>
            <w:r>
              <w:rPr>
                <w:rFonts w:hint="eastAsia" w:ascii="Times New Roman" w:hAnsi="Times New Roman" w:eastAsia="仿宋" w:cs="Times New Roman"/>
                <w:color w:val="auto"/>
                <w:kern w:val="2"/>
                <w:sz w:val="21"/>
                <w:szCs w:val="21"/>
              </w:rPr>
              <w:t>12</w:t>
            </w:r>
            <w:r>
              <w:rPr>
                <w:rFonts w:ascii="Times New Roman" w:hAnsi="Times New Roman" w:eastAsia="仿宋" w:cs="Times New Roman"/>
                <w:color w:val="auto"/>
                <w:kern w:val="2"/>
                <w:sz w:val="21"/>
                <w:szCs w:val="21"/>
              </w:rPr>
              <w:t xml:space="preserve"> mg/m</w:t>
            </w:r>
            <w:r>
              <w:rPr>
                <w:rFonts w:ascii="Times New Roman" w:hAnsi="Times New Roman" w:eastAsia="仿宋" w:cs="Times New Roman"/>
                <w:color w:val="auto"/>
                <w:kern w:val="2"/>
                <w:sz w:val="21"/>
                <w:szCs w:val="21"/>
                <w:vertAlign w:val="superscript"/>
              </w:rPr>
              <w:t>3</w:t>
            </w:r>
          </w:p>
        </w:tc>
        <w:tc>
          <w:tcPr>
            <w:tcW w:w="1899" w:type="dxa"/>
            <w:vAlign w:val="center"/>
          </w:tcPr>
          <w:p w14:paraId="6CBF4848">
            <w:pPr>
              <w:pStyle w:val="19"/>
              <w:spacing w:line="460" w:lineRule="exact"/>
              <w:jc w:val="center"/>
              <w:rPr>
                <w:rFonts w:ascii="Times New Roman" w:hAnsi="Times New Roman" w:eastAsia="仿宋" w:cs="Times New Roman"/>
                <w:color w:val="auto"/>
                <w:kern w:val="2"/>
                <w:sz w:val="21"/>
                <w:szCs w:val="21"/>
              </w:rPr>
            </w:pPr>
            <w:r>
              <w:rPr>
                <w:rFonts w:ascii="Times New Roman" w:hAnsi="Times New Roman" w:eastAsia="仿宋" w:cs="Times New Roman"/>
                <w:color w:val="auto"/>
                <w:kern w:val="2"/>
                <w:sz w:val="21"/>
                <w:szCs w:val="21"/>
              </w:rPr>
              <w:t>0.00</w:t>
            </w:r>
            <w:r>
              <w:rPr>
                <w:rFonts w:hint="eastAsia" w:ascii="Times New Roman" w:hAnsi="Times New Roman" w:eastAsia="仿宋" w:cs="Times New Roman"/>
                <w:color w:val="auto"/>
                <w:kern w:val="2"/>
                <w:sz w:val="21"/>
                <w:szCs w:val="21"/>
              </w:rPr>
              <w:t>47</w:t>
            </w:r>
            <w:r>
              <w:rPr>
                <w:rFonts w:ascii="Times New Roman" w:hAnsi="Times New Roman" w:eastAsia="仿宋" w:cs="Times New Roman"/>
                <w:color w:val="auto"/>
                <w:kern w:val="2"/>
                <w:sz w:val="21"/>
                <w:szCs w:val="21"/>
              </w:rPr>
              <w:t xml:space="preserve"> mg/m</w:t>
            </w:r>
            <w:r>
              <w:rPr>
                <w:rFonts w:ascii="Times New Roman" w:hAnsi="Times New Roman" w:eastAsia="仿宋" w:cs="Times New Roman"/>
                <w:color w:val="auto"/>
                <w:kern w:val="2"/>
                <w:sz w:val="21"/>
                <w:szCs w:val="21"/>
                <w:vertAlign w:val="superscript"/>
              </w:rPr>
              <w:t>3</w:t>
            </w:r>
          </w:p>
        </w:tc>
      </w:tr>
    </w:tbl>
    <w:p w14:paraId="02271954">
      <w:pPr>
        <w:pStyle w:val="19"/>
        <w:spacing w:line="460" w:lineRule="exact"/>
        <w:ind w:firstLine="420" w:firstLineChars="200"/>
        <w:jc w:val="center"/>
        <w:rPr>
          <w:rFonts w:ascii="Times New Roman" w:hAnsi="Times New Roman" w:eastAsia="仿宋" w:cs="Times New Roman"/>
          <w:color w:val="auto"/>
          <w:kern w:val="2"/>
          <w:sz w:val="21"/>
          <w:szCs w:val="21"/>
        </w:rPr>
      </w:pPr>
    </w:p>
    <w:p w14:paraId="721E6560">
      <w:pPr>
        <w:pStyle w:val="19"/>
        <w:spacing w:line="460" w:lineRule="exact"/>
        <w:ind w:firstLine="420" w:firstLineChars="200"/>
        <w:jc w:val="center"/>
        <w:rPr>
          <w:rFonts w:ascii="Times New Roman" w:hAnsi="Times New Roman" w:eastAsia="仿宋" w:cs="Times New Roman"/>
          <w:color w:val="auto"/>
          <w:kern w:val="2"/>
          <w:sz w:val="28"/>
          <w:szCs w:val="28"/>
        </w:rPr>
      </w:pPr>
      <w:r>
        <w:rPr>
          <w:rFonts w:hint="eastAsia" w:ascii="Times New Roman" w:hAnsi="Times New Roman" w:eastAsia="仿宋" w:cs="Times New Roman"/>
          <w:color w:val="auto"/>
          <w:kern w:val="2"/>
          <w:sz w:val="21"/>
          <w:szCs w:val="21"/>
        </w:rPr>
        <w:t>表1</w:t>
      </w:r>
      <w:r>
        <w:rPr>
          <w:rFonts w:hint="eastAsia" w:ascii="Times New Roman" w:hAnsi="Times New Roman" w:eastAsia="仿宋" w:cs="Times New Roman"/>
          <w:color w:val="auto"/>
          <w:kern w:val="2"/>
          <w:sz w:val="21"/>
          <w:szCs w:val="21"/>
          <w:lang w:val="en-US" w:eastAsia="zh-CN"/>
        </w:rPr>
        <w:t>4</w:t>
      </w:r>
      <w:r>
        <w:rPr>
          <w:rFonts w:ascii="Times New Roman" w:hAnsi="Times New Roman" w:eastAsia="仿宋" w:cs="Times New Roman"/>
          <w:color w:val="auto"/>
          <w:kern w:val="2"/>
          <w:sz w:val="21"/>
          <w:szCs w:val="21"/>
        </w:rPr>
        <w:t xml:space="preserve"> </w:t>
      </w:r>
      <w:r>
        <w:rPr>
          <w:rFonts w:hint="eastAsia" w:ascii="Times New Roman" w:hAnsi="Times New Roman" w:eastAsia="仿宋" w:cs="Times New Roman"/>
          <w:color w:val="auto"/>
          <w:kern w:val="2"/>
          <w:sz w:val="21"/>
          <w:szCs w:val="21"/>
        </w:rPr>
        <w:t>三家验证单位批内精密度和洗脱效率验证结果</w:t>
      </w:r>
    </w:p>
    <w:tbl>
      <w:tblPr>
        <w:tblStyle w:val="22"/>
        <w:tblW w:w="9457"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53"/>
        <w:gridCol w:w="1116"/>
        <w:gridCol w:w="864"/>
        <w:gridCol w:w="864"/>
        <w:gridCol w:w="840"/>
        <w:gridCol w:w="852"/>
        <w:gridCol w:w="852"/>
        <w:gridCol w:w="900"/>
        <w:gridCol w:w="888"/>
        <w:gridCol w:w="1128"/>
      </w:tblGrid>
      <w:tr w14:paraId="1BE91E7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restart"/>
            <w:tcBorders>
              <w:top w:val="single" w:color="auto" w:sz="12" w:space="0"/>
            </w:tcBorders>
            <w:vAlign w:val="center"/>
          </w:tcPr>
          <w:p w14:paraId="221E019A">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单位</w:t>
            </w:r>
          </w:p>
        </w:tc>
        <w:tc>
          <w:tcPr>
            <w:tcW w:w="1116" w:type="dxa"/>
            <w:vMerge w:val="restart"/>
            <w:tcBorders>
              <w:top w:val="single" w:color="auto" w:sz="12" w:space="0"/>
            </w:tcBorders>
            <w:vAlign w:val="center"/>
          </w:tcPr>
          <w:p w14:paraId="5AB3875A">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加标浓度（mg/L）</w:t>
            </w:r>
          </w:p>
        </w:tc>
        <w:tc>
          <w:tcPr>
            <w:tcW w:w="5172" w:type="dxa"/>
            <w:gridSpan w:val="6"/>
            <w:tcBorders>
              <w:top w:val="single" w:color="auto" w:sz="12" w:space="0"/>
              <w:bottom w:val="single" w:color="auto" w:sz="8" w:space="0"/>
            </w:tcBorders>
            <w:vAlign w:val="center"/>
          </w:tcPr>
          <w:p w14:paraId="04FC3DC1">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测定值(mg/L)</w:t>
            </w:r>
          </w:p>
        </w:tc>
        <w:tc>
          <w:tcPr>
            <w:tcW w:w="888" w:type="dxa"/>
            <w:vMerge w:val="restart"/>
            <w:tcBorders>
              <w:top w:val="single" w:color="auto" w:sz="12" w:space="0"/>
            </w:tcBorders>
            <w:vAlign w:val="center"/>
          </w:tcPr>
          <w:p w14:paraId="12840967">
            <w:pPr>
              <w:jc w:val="center"/>
              <w:rPr>
                <w:rFonts w:eastAsia="仿宋"/>
                <w:color w:val="auto"/>
                <w:szCs w:val="21"/>
              </w:rPr>
            </w:pPr>
            <w:r>
              <w:rPr>
                <w:rFonts w:hint="eastAsia"/>
                <w:color w:val="auto"/>
                <w:szCs w:val="21"/>
              </w:rPr>
              <w:t>RSD（%）</w:t>
            </w:r>
          </w:p>
        </w:tc>
        <w:tc>
          <w:tcPr>
            <w:tcW w:w="1128" w:type="dxa"/>
            <w:vMerge w:val="restart"/>
            <w:tcBorders>
              <w:top w:val="single" w:color="auto" w:sz="12" w:space="0"/>
            </w:tcBorders>
            <w:vAlign w:val="center"/>
          </w:tcPr>
          <w:p w14:paraId="27C0B0C9">
            <w:pPr>
              <w:jc w:val="center"/>
              <w:rPr>
                <w:rFonts w:eastAsia="仿宋"/>
                <w:color w:val="auto"/>
                <w:szCs w:val="21"/>
              </w:rPr>
            </w:pPr>
            <w:r>
              <w:rPr>
                <w:rFonts w:hint="eastAsia"/>
                <w:color w:val="auto"/>
                <w:szCs w:val="21"/>
              </w:rPr>
              <w:t>洗脱效率（%）</w:t>
            </w:r>
          </w:p>
        </w:tc>
      </w:tr>
      <w:tr w14:paraId="49651A0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continue"/>
            <w:tcBorders>
              <w:bottom w:val="single" w:color="auto" w:sz="8" w:space="0"/>
            </w:tcBorders>
            <w:vAlign w:val="center"/>
          </w:tcPr>
          <w:p w14:paraId="5C5B8B0B">
            <w:pPr>
              <w:pStyle w:val="19"/>
              <w:spacing w:line="460" w:lineRule="exact"/>
              <w:jc w:val="center"/>
              <w:rPr>
                <w:rFonts w:ascii="Times New Roman" w:hAnsi="Times New Roman" w:eastAsia="仿宋" w:cs="Times New Roman"/>
                <w:color w:val="auto"/>
                <w:kern w:val="2"/>
                <w:sz w:val="21"/>
                <w:szCs w:val="21"/>
              </w:rPr>
            </w:pPr>
          </w:p>
        </w:tc>
        <w:tc>
          <w:tcPr>
            <w:tcW w:w="1116" w:type="dxa"/>
            <w:vMerge w:val="continue"/>
            <w:tcBorders>
              <w:bottom w:val="single" w:color="auto" w:sz="8" w:space="0"/>
            </w:tcBorders>
            <w:vAlign w:val="center"/>
          </w:tcPr>
          <w:p w14:paraId="01C55D24">
            <w:pPr>
              <w:pStyle w:val="19"/>
              <w:spacing w:line="460" w:lineRule="exact"/>
              <w:jc w:val="center"/>
              <w:rPr>
                <w:rFonts w:ascii="Times New Roman" w:hAnsi="Times New Roman" w:eastAsia="仿宋" w:cs="Times New Roman"/>
                <w:color w:val="auto"/>
                <w:kern w:val="2"/>
                <w:sz w:val="21"/>
                <w:szCs w:val="21"/>
              </w:rPr>
            </w:pPr>
          </w:p>
        </w:tc>
        <w:tc>
          <w:tcPr>
            <w:tcW w:w="864" w:type="dxa"/>
            <w:tcBorders>
              <w:top w:val="single" w:color="auto" w:sz="12" w:space="0"/>
              <w:bottom w:val="single" w:color="auto" w:sz="8" w:space="0"/>
            </w:tcBorders>
            <w:vAlign w:val="center"/>
          </w:tcPr>
          <w:p w14:paraId="7F8DC39C">
            <w:pPr>
              <w:jc w:val="center"/>
              <w:rPr>
                <w:rFonts w:eastAsia="仿宋"/>
                <w:color w:val="auto"/>
                <w:szCs w:val="21"/>
              </w:rPr>
            </w:pPr>
            <w:r>
              <w:rPr>
                <w:rFonts w:hint="eastAsia"/>
                <w:color w:val="auto"/>
                <w:szCs w:val="21"/>
              </w:rPr>
              <w:t>1</w:t>
            </w:r>
          </w:p>
        </w:tc>
        <w:tc>
          <w:tcPr>
            <w:tcW w:w="864" w:type="dxa"/>
            <w:tcBorders>
              <w:top w:val="single" w:color="auto" w:sz="12" w:space="0"/>
              <w:bottom w:val="single" w:color="auto" w:sz="8" w:space="0"/>
            </w:tcBorders>
            <w:vAlign w:val="center"/>
          </w:tcPr>
          <w:p w14:paraId="654CC55D">
            <w:pPr>
              <w:jc w:val="center"/>
              <w:rPr>
                <w:rFonts w:eastAsia="仿宋"/>
                <w:color w:val="auto"/>
                <w:szCs w:val="21"/>
              </w:rPr>
            </w:pPr>
            <w:r>
              <w:rPr>
                <w:rFonts w:hint="eastAsia"/>
                <w:color w:val="auto"/>
                <w:szCs w:val="21"/>
              </w:rPr>
              <w:t>2</w:t>
            </w:r>
          </w:p>
        </w:tc>
        <w:tc>
          <w:tcPr>
            <w:tcW w:w="840" w:type="dxa"/>
            <w:tcBorders>
              <w:top w:val="single" w:color="auto" w:sz="12" w:space="0"/>
              <w:bottom w:val="single" w:color="auto" w:sz="8" w:space="0"/>
            </w:tcBorders>
            <w:vAlign w:val="center"/>
          </w:tcPr>
          <w:p w14:paraId="6BE7674B">
            <w:pPr>
              <w:jc w:val="center"/>
              <w:rPr>
                <w:rFonts w:eastAsia="仿宋"/>
                <w:color w:val="auto"/>
                <w:szCs w:val="21"/>
              </w:rPr>
            </w:pPr>
            <w:r>
              <w:rPr>
                <w:rFonts w:hint="eastAsia"/>
                <w:color w:val="auto"/>
                <w:szCs w:val="21"/>
              </w:rPr>
              <w:t>3</w:t>
            </w:r>
          </w:p>
        </w:tc>
        <w:tc>
          <w:tcPr>
            <w:tcW w:w="852" w:type="dxa"/>
            <w:tcBorders>
              <w:top w:val="single" w:color="auto" w:sz="12" w:space="0"/>
              <w:bottom w:val="single" w:color="auto" w:sz="8" w:space="0"/>
            </w:tcBorders>
            <w:vAlign w:val="center"/>
          </w:tcPr>
          <w:p w14:paraId="135BE916">
            <w:pPr>
              <w:jc w:val="center"/>
              <w:rPr>
                <w:rFonts w:eastAsia="仿宋"/>
                <w:color w:val="auto"/>
                <w:szCs w:val="21"/>
              </w:rPr>
            </w:pPr>
            <w:r>
              <w:rPr>
                <w:rFonts w:hint="eastAsia"/>
                <w:color w:val="auto"/>
                <w:szCs w:val="21"/>
              </w:rPr>
              <w:t>4</w:t>
            </w:r>
          </w:p>
        </w:tc>
        <w:tc>
          <w:tcPr>
            <w:tcW w:w="852" w:type="dxa"/>
            <w:tcBorders>
              <w:top w:val="single" w:color="auto" w:sz="12" w:space="0"/>
              <w:bottom w:val="single" w:color="auto" w:sz="8" w:space="0"/>
            </w:tcBorders>
            <w:vAlign w:val="center"/>
          </w:tcPr>
          <w:p w14:paraId="1582E888">
            <w:pPr>
              <w:jc w:val="center"/>
              <w:rPr>
                <w:rFonts w:eastAsia="仿宋"/>
                <w:color w:val="auto"/>
                <w:szCs w:val="21"/>
              </w:rPr>
            </w:pPr>
            <w:r>
              <w:rPr>
                <w:rFonts w:hint="eastAsia"/>
                <w:color w:val="auto"/>
                <w:szCs w:val="21"/>
              </w:rPr>
              <w:t>5</w:t>
            </w:r>
          </w:p>
        </w:tc>
        <w:tc>
          <w:tcPr>
            <w:tcW w:w="900" w:type="dxa"/>
            <w:tcBorders>
              <w:top w:val="single" w:color="auto" w:sz="12" w:space="0"/>
              <w:bottom w:val="single" w:color="auto" w:sz="8" w:space="0"/>
            </w:tcBorders>
            <w:vAlign w:val="center"/>
          </w:tcPr>
          <w:p w14:paraId="6E8C4670">
            <w:pPr>
              <w:jc w:val="center"/>
              <w:rPr>
                <w:rFonts w:eastAsia="仿宋"/>
                <w:color w:val="auto"/>
                <w:szCs w:val="21"/>
              </w:rPr>
            </w:pPr>
            <w:r>
              <w:rPr>
                <w:rFonts w:hint="eastAsia"/>
                <w:color w:val="auto"/>
                <w:szCs w:val="21"/>
              </w:rPr>
              <w:t>6</w:t>
            </w:r>
          </w:p>
        </w:tc>
        <w:tc>
          <w:tcPr>
            <w:tcW w:w="888" w:type="dxa"/>
            <w:vMerge w:val="continue"/>
            <w:tcBorders>
              <w:bottom w:val="single" w:color="auto" w:sz="8" w:space="0"/>
            </w:tcBorders>
            <w:vAlign w:val="center"/>
          </w:tcPr>
          <w:p w14:paraId="17E4B56E">
            <w:pPr>
              <w:jc w:val="center"/>
              <w:rPr>
                <w:color w:val="auto"/>
                <w:szCs w:val="21"/>
              </w:rPr>
            </w:pPr>
          </w:p>
        </w:tc>
        <w:tc>
          <w:tcPr>
            <w:tcW w:w="1128" w:type="dxa"/>
            <w:vMerge w:val="continue"/>
            <w:tcBorders>
              <w:bottom w:val="single" w:color="auto" w:sz="8" w:space="0"/>
            </w:tcBorders>
            <w:vAlign w:val="center"/>
          </w:tcPr>
          <w:p w14:paraId="2F9718DB">
            <w:pPr>
              <w:jc w:val="center"/>
              <w:rPr>
                <w:color w:val="auto"/>
                <w:szCs w:val="21"/>
              </w:rPr>
            </w:pPr>
          </w:p>
        </w:tc>
      </w:tr>
      <w:tr w14:paraId="41D213D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restart"/>
            <w:tcBorders>
              <w:top w:val="single" w:color="auto" w:sz="8" w:space="0"/>
            </w:tcBorders>
            <w:vAlign w:val="center"/>
          </w:tcPr>
          <w:p w14:paraId="7A8D4057">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淮安疾控</w:t>
            </w:r>
          </w:p>
        </w:tc>
        <w:tc>
          <w:tcPr>
            <w:tcW w:w="1116" w:type="dxa"/>
            <w:tcBorders>
              <w:top w:val="single" w:color="auto" w:sz="8" w:space="0"/>
            </w:tcBorders>
            <w:vAlign w:val="center"/>
          </w:tcPr>
          <w:p w14:paraId="6C1DABA8">
            <w:pPr>
              <w:jc w:val="center"/>
              <w:rPr>
                <w:rFonts w:eastAsia="仿宋"/>
                <w:color w:val="auto"/>
                <w:szCs w:val="21"/>
              </w:rPr>
            </w:pPr>
            <w:r>
              <w:rPr>
                <w:rFonts w:hint="eastAsia"/>
                <w:color w:val="auto"/>
                <w:szCs w:val="21"/>
              </w:rPr>
              <w:t>0.1</w:t>
            </w:r>
          </w:p>
        </w:tc>
        <w:tc>
          <w:tcPr>
            <w:tcW w:w="864" w:type="dxa"/>
            <w:tcBorders>
              <w:top w:val="single" w:color="auto" w:sz="8" w:space="0"/>
            </w:tcBorders>
            <w:vAlign w:val="center"/>
          </w:tcPr>
          <w:p w14:paraId="5AA549EB">
            <w:pPr>
              <w:jc w:val="center"/>
              <w:rPr>
                <w:color w:val="auto"/>
                <w:szCs w:val="21"/>
              </w:rPr>
            </w:pPr>
            <w:r>
              <w:rPr>
                <w:rFonts w:hint="eastAsia" w:cs="宋体"/>
                <w:color w:val="auto"/>
                <w:szCs w:val="21"/>
              </w:rPr>
              <w:t>0.0929</w:t>
            </w:r>
          </w:p>
        </w:tc>
        <w:tc>
          <w:tcPr>
            <w:tcW w:w="864" w:type="dxa"/>
            <w:tcBorders>
              <w:top w:val="single" w:color="auto" w:sz="8" w:space="0"/>
            </w:tcBorders>
            <w:vAlign w:val="center"/>
          </w:tcPr>
          <w:p w14:paraId="49899EEB">
            <w:pPr>
              <w:jc w:val="center"/>
              <w:rPr>
                <w:color w:val="auto"/>
                <w:szCs w:val="21"/>
              </w:rPr>
            </w:pPr>
            <w:r>
              <w:rPr>
                <w:rFonts w:hint="eastAsia" w:cs="宋体"/>
                <w:color w:val="auto"/>
                <w:szCs w:val="21"/>
              </w:rPr>
              <w:t>0.0905</w:t>
            </w:r>
          </w:p>
        </w:tc>
        <w:tc>
          <w:tcPr>
            <w:tcW w:w="840" w:type="dxa"/>
            <w:tcBorders>
              <w:top w:val="single" w:color="auto" w:sz="8" w:space="0"/>
            </w:tcBorders>
            <w:vAlign w:val="center"/>
          </w:tcPr>
          <w:p w14:paraId="27E96873">
            <w:pPr>
              <w:jc w:val="center"/>
              <w:rPr>
                <w:color w:val="auto"/>
                <w:szCs w:val="21"/>
              </w:rPr>
            </w:pPr>
            <w:r>
              <w:rPr>
                <w:rFonts w:hint="eastAsia" w:cs="宋体"/>
                <w:color w:val="auto"/>
                <w:szCs w:val="21"/>
              </w:rPr>
              <w:t>0.0943</w:t>
            </w:r>
          </w:p>
        </w:tc>
        <w:tc>
          <w:tcPr>
            <w:tcW w:w="852" w:type="dxa"/>
            <w:tcBorders>
              <w:top w:val="single" w:color="auto" w:sz="8" w:space="0"/>
            </w:tcBorders>
            <w:vAlign w:val="center"/>
          </w:tcPr>
          <w:p w14:paraId="466BBBD7">
            <w:pPr>
              <w:jc w:val="center"/>
              <w:rPr>
                <w:color w:val="auto"/>
                <w:szCs w:val="21"/>
              </w:rPr>
            </w:pPr>
            <w:r>
              <w:rPr>
                <w:rFonts w:hint="eastAsia" w:cs="宋体"/>
                <w:color w:val="auto"/>
                <w:szCs w:val="21"/>
              </w:rPr>
              <w:t>0.0912</w:t>
            </w:r>
          </w:p>
        </w:tc>
        <w:tc>
          <w:tcPr>
            <w:tcW w:w="852" w:type="dxa"/>
            <w:tcBorders>
              <w:top w:val="single" w:color="auto" w:sz="8" w:space="0"/>
            </w:tcBorders>
            <w:vAlign w:val="center"/>
          </w:tcPr>
          <w:p w14:paraId="4F713D96">
            <w:pPr>
              <w:jc w:val="center"/>
              <w:rPr>
                <w:color w:val="auto"/>
                <w:szCs w:val="21"/>
              </w:rPr>
            </w:pPr>
            <w:r>
              <w:rPr>
                <w:rFonts w:hint="eastAsia" w:cs="宋体"/>
                <w:color w:val="auto"/>
                <w:szCs w:val="21"/>
              </w:rPr>
              <w:t>0.0927</w:t>
            </w:r>
          </w:p>
        </w:tc>
        <w:tc>
          <w:tcPr>
            <w:tcW w:w="900" w:type="dxa"/>
            <w:tcBorders>
              <w:top w:val="single" w:color="auto" w:sz="8" w:space="0"/>
            </w:tcBorders>
            <w:vAlign w:val="center"/>
          </w:tcPr>
          <w:p w14:paraId="1A5AF204">
            <w:pPr>
              <w:jc w:val="center"/>
              <w:rPr>
                <w:color w:val="auto"/>
                <w:szCs w:val="21"/>
              </w:rPr>
            </w:pPr>
            <w:r>
              <w:rPr>
                <w:rFonts w:hint="eastAsia" w:cs="宋体"/>
                <w:color w:val="auto"/>
                <w:szCs w:val="21"/>
              </w:rPr>
              <w:t>0.0932</w:t>
            </w:r>
          </w:p>
        </w:tc>
        <w:tc>
          <w:tcPr>
            <w:tcW w:w="888" w:type="dxa"/>
            <w:tcBorders>
              <w:top w:val="single" w:color="auto" w:sz="8" w:space="0"/>
            </w:tcBorders>
            <w:vAlign w:val="center"/>
          </w:tcPr>
          <w:p w14:paraId="526CBD97">
            <w:pPr>
              <w:jc w:val="center"/>
              <w:rPr>
                <w:rFonts w:cs="宋体"/>
                <w:color w:val="auto"/>
                <w:szCs w:val="21"/>
              </w:rPr>
            </w:pPr>
            <w:r>
              <w:rPr>
                <w:rFonts w:hint="eastAsia" w:cs="宋体"/>
                <w:color w:val="auto"/>
                <w:szCs w:val="21"/>
              </w:rPr>
              <w:t>1.5</w:t>
            </w:r>
          </w:p>
        </w:tc>
        <w:tc>
          <w:tcPr>
            <w:tcW w:w="1128" w:type="dxa"/>
            <w:tcBorders>
              <w:top w:val="single" w:color="auto" w:sz="8" w:space="0"/>
            </w:tcBorders>
            <w:vAlign w:val="center"/>
          </w:tcPr>
          <w:p w14:paraId="6715D68B">
            <w:pPr>
              <w:jc w:val="center"/>
              <w:rPr>
                <w:rFonts w:cs="宋体"/>
                <w:color w:val="auto"/>
                <w:szCs w:val="21"/>
              </w:rPr>
            </w:pPr>
            <w:r>
              <w:rPr>
                <w:rFonts w:hint="eastAsia" w:cs="宋体"/>
                <w:color w:val="auto"/>
                <w:szCs w:val="21"/>
              </w:rPr>
              <w:t>92.5</w:t>
            </w:r>
          </w:p>
        </w:tc>
      </w:tr>
      <w:tr w14:paraId="016A482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continue"/>
            <w:vAlign w:val="center"/>
          </w:tcPr>
          <w:p w14:paraId="60BE1B29">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474E3CA5">
            <w:pPr>
              <w:jc w:val="center"/>
              <w:rPr>
                <w:rFonts w:eastAsia="仿宋"/>
                <w:color w:val="auto"/>
                <w:szCs w:val="21"/>
              </w:rPr>
            </w:pPr>
            <w:r>
              <w:rPr>
                <w:rFonts w:hint="eastAsia"/>
                <w:color w:val="auto"/>
                <w:szCs w:val="21"/>
              </w:rPr>
              <w:t>0.5</w:t>
            </w:r>
          </w:p>
        </w:tc>
        <w:tc>
          <w:tcPr>
            <w:tcW w:w="864" w:type="dxa"/>
            <w:vAlign w:val="center"/>
          </w:tcPr>
          <w:p w14:paraId="374B2413">
            <w:pPr>
              <w:jc w:val="center"/>
              <w:rPr>
                <w:color w:val="auto"/>
                <w:szCs w:val="21"/>
              </w:rPr>
            </w:pPr>
            <w:r>
              <w:rPr>
                <w:rFonts w:cs="宋体"/>
                <w:color w:val="auto"/>
                <w:szCs w:val="21"/>
              </w:rPr>
              <w:t>0.4</w:t>
            </w:r>
            <w:r>
              <w:rPr>
                <w:rFonts w:hint="eastAsia" w:cs="宋体"/>
                <w:color w:val="auto"/>
                <w:szCs w:val="21"/>
              </w:rPr>
              <w:t>4</w:t>
            </w:r>
            <w:r>
              <w:rPr>
                <w:rFonts w:cs="宋体"/>
                <w:color w:val="auto"/>
                <w:szCs w:val="21"/>
              </w:rPr>
              <w:t>3</w:t>
            </w:r>
          </w:p>
        </w:tc>
        <w:tc>
          <w:tcPr>
            <w:tcW w:w="864" w:type="dxa"/>
            <w:vAlign w:val="center"/>
          </w:tcPr>
          <w:p w14:paraId="1CC92BC5">
            <w:pPr>
              <w:jc w:val="center"/>
              <w:rPr>
                <w:color w:val="auto"/>
                <w:szCs w:val="21"/>
              </w:rPr>
            </w:pPr>
            <w:r>
              <w:rPr>
                <w:rFonts w:cs="宋体"/>
                <w:color w:val="auto"/>
                <w:szCs w:val="21"/>
              </w:rPr>
              <w:t>0.45</w:t>
            </w:r>
            <w:r>
              <w:rPr>
                <w:rFonts w:hint="eastAsia" w:cs="宋体"/>
                <w:color w:val="auto"/>
                <w:szCs w:val="21"/>
              </w:rPr>
              <w:t>2</w:t>
            </w:r>
          </w:p>
        </w:tc>
        <w:tc>
          <w:tcPr>
            <w:tcW w:w="840" w:type="dxa"/>
            <w:vAlign w:val="center"/>
          </w:tcPr>
          <w:p w14:paraId="0B364595">
            <w:pPr>
              <w:jc w:val="center"/>
              <w:rPr>
                <w:color w:val="auto"/>
                <w:szCs w:val="21"/>
              </w:rPr>
            </w:pPr>
            <w:r>
              <w:rPr>
                <w:rFonts w:cs="宋体"/>
                <w:color w:val="auto"/>
                <w:szCs w:val="21"/>
              </w:rPr>
              <w:t>0.4</w:t>
            </w:r>
            <w:r>
              <w:rPr>
                <w:rFonts w:hint="eastAsia" w:cs="宋体"/>
                <w:color w:val="auto"/>
                <w:szCs w:val="21"/>
              </w:rPr>
              <w:t>63</w:t>
            </w:r>
          </w:p>
        </w:tc>
        <w:tc>
          <w:tcPr>
            <w:tcW w:w="852" w:type="dxa"/>
            <w:vAlign w:val="center"/>
          </w:tcPr>
          <w:p w14:paraId="3C23496F">
            <w:pPr>
              <w:jc w:val="center"/>
              <w:rPr>
                <w:color w:val="auto"/>
                <w:szCs w:val="21"/>
              </w:rPr>
            </w:pPr>
            <w:r>
              <w:rPr>
                <w:rFonts w:cs="宋体"/>
                <w:color w:val="auto"/>
                <w:szCs w:val="21"/>
              </w:rPr>
              <w:t>0.454</w:t>
            </w:r>
          </w:p>
        </w:tc>
        <w:tc>
          <w:tcPr>
            <w:tcW w:w="852" w:type="dxa"/>
            <w:vAlign w:val="center"/>
          </w:tcPr>
          <w:p w14:paraId="0C194C1F">
            <w:pPr>
              <w:jc w:val="center"/>
              <w:rPr>
                <w:color w:val="auto"/>
                <w:szCs w:val="21"/>
              </w:rPr>
            </w:pPr>
            <w:r>
              <w:rPr>
                <w:rFonts w:cs="宋体"/>
                <w:color w:val="auto"/>
                <w:szCs w:val="21"/>
              </w:rPr>
              <w:t>0.4</w:t>
            </w:r>
            <w:r>
              <w:rPr>
                <w:rFonts w:hint="eastAsia" w:cs="宋体"/>
                <w:color w:val="auto"/>
                <w:szCs w:val="21"/>
              </w:rPr>
              <w:t>41</w:t>
            </w:r>
          </w:p>
        </w:tc>
        <w:tc>
          <w:tcPr>
            <w:tcW w:w="900" w:type="dxa"/>
            <w:vAlign w:val="center"/>
          </w:tcPr>
          <w:p w14:paraId="682846DC">
            <w:pPr>
              <w:jc w:val="center"/>
              <w:rPr>
                <w:color w:val="auto"/>
                <w:szCs w:val="21"/>
              </w:rPr>
            </w:pPr>
            <w:r>
              <w:rPr>
                <w:rFonts w:cs="宋体"/>
                <w:color w:val="auto"/>
                <w:szCs w:val="21"/>
              </w:rPr>
              <w:t>0.453</w:t>
            </w:r>
          </w:p>
        </w:tc>
        <w:tc>
          <w:tcPr>
            <w:tcW w:w="888" w:type="dxa"/>
            <w:vAlign w:val="center"/>
          </w:tcPr>
          <w:p w14:paraId="698F9C4D">
            <w:pPr>
              <w:jc w:val="center"/>
              <w:rPr>
                <w:rFonts w:cs="宋体"/>
                <w:color w:val="auto"/>
                <w:szCs w:val="21"/>
              </w:rPr>
            </w:pPr>
            <w:r>
              <w:rPr>
                <w:rFonts w:hint="eastAsia" w:cs="宋体"/>
                <w:color w:val="auto"/>
                <w:szCs w:val="21"/>
              </w:rPr>
              <w:t>1.8</w:t>
            </w:r>
          </w:p>
        </w:tc>
        <w:tc>
          <w:tcPr>
            <w:tcW w:w="1128" w:type="dxa"/>
            <w:vAlign w:val="center"/>
          </w:tcPr>
          <w:p w14:paraId="218B3DE9">
            <w:pPr>
              <w:jc w:val="center"/>
              <w:rPr>
                <w:rFonts w:cs="宋体"/>
                <w:color w:val="auto"/>
                <w:szCs w:val="21"/>
              </w:rPr>
            </w:pPr>
            <w:r>
              <w:rPr>
                <w:rFonts w:hint="eastAsia" w:cs="宋体"/>
                <w:color w:val="auto"/>
                <w:szCs w:val="21"/>
              </w:rPr>
              <w:t>90.3</w:t>
            </w:r>
          </w:p>
        </w:tc>
      </w:tr>
      <w:tr w14:paraId="4B7D99E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continue"/>
            <w:vAlign w:val="center"/>
          </w:tcPr>
          <w:p w14:paraId="4CE3BCBA">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5280D720">
            <w:pPr>
              <w:jc w:val="center"/>
              <w:rPr>
                <w:rFonts w:eastAsia="仿宋"/>
                <w:color w:val="auto"/>
                <w:szCs w:val="21"/>
              </w:rPr>
            </w:pPr>
            <w:r>
              <w:rPr>
                <w:rFonts w:hint="eastAsia"/>
                <w:color w:val="auto"/>
                <w:szCs w:val="21"/>
              </w:rPr>
              <w:t>0.75</w:t>
            </w:r>
          </w:p>
        </w:tc>
        <w:tc>
          <w:tcPr>
            <w:tcW w:w="864" w:type="dxa"/>
            <w:vAlign w:val="center"/>
          </w:tcPr>
          <w:p w14:paraId="61549965">
            <w:pPr>
              <w:jc w:val="center"/>
              <w:rPr>
                <w:color w:val="auto"/>
                <w:szCs w:val="21"/>
              </w:rPr>
            </w:pPr>
            <w:r>
              <w:rPr>
                <w:rFonts w:cs="宋体"/>
                <w:color w:val="auto"/>
                <w:szCs w:val="21"/>
              </w:rPr>
              <w:t>0.707</w:t>
            </w:r>
          </w:p>
        </w:tc>
        <w:tc>
          <w:tcPr>
            <w:tcW w:w="864" w:type="dxa"/>
            <w:vAlign w:val="center"/>
          </w:tcPr>
          <w:p w14:paraId="2DC945B6">
            <w:pPr>
              <w:jc w:val="center"/>
              <w:rPr>
                <w:color w:val="auto"/>
                <w:szCs w:val="21"/>
              </w:rPr>
            </w:pPr>
            <w:r>
              <w:rPr>
                <w:rFonts w:cs="宋体"/>
                <w:color w:val="auto"/>
                <w:szCs w:val="21"/>
              </w:rPr>
              <w:t>0.695</w:t>
            </w:r>
          </w:p>
        </w:tc>
        <w:tc>
          <w:tcPr>
            <w:tcW w:w="840" w:type="dxa"/>
            <w:vAlign w:val="center"/>
          </w:tcPr>
          <w:p w14:paraId="67F11617">
            <w:pPr>
              <w:jc w:val="center"/>
              <w:rPr>
                <w:color w:val="auto"/>
                <w:szCs w:val="21"/>
              </w:rPr>
            </w:pPr>
            <w:r>
              <w:rPr>
                <w:rFonts w:cs="宋体"/>
                <w:color w:val="auto"/>
                <w:szCs w:val="21"/>
              </w:rPr>
              <w:t>0.699</w:t>
            </w:r>
          </w:p>
        </w:tc>
        <w:tc>
          <w:tcPr>
            <w:tcW w:w="852" w:type="dxa"/>
            <w:vAlign w:val="center"/>
          </w:tcPr>
          <w:p w14:paraId="2801A50E">
            <w:pPr>
              <w:jc w:val="center"/>
              <w:rPr>
                <w:color w:val="auto"/>
                <w:szCs w:val="21"/>
              </w:rPr>
            </w:pPr>
            <w:r>
              <w:rPr>
                <w:rFonts w:cs="宋体"/>
                <w:color w:val="auto"/>
                <w:szCs w:val="21"/>
              </w:rPr>
              <w:t>0.702</w:t>
            </w:r>
          </w:p>
        </w:tc>
        <w:tc>
          <w:tcPr>
            <w:tcW w:w="852" w:type="dxa"/>
            <w:vAlign w:val="center"/>
          </w:tcPr>
          <w:p w14:paraId="1D52453B">
            <w:pPr>
              <w:jc w:val="center"/>
              <w:rPr>
                <w:color w:val="auto"/>
                <w:szCs w:val="21"/>
              </w:rPr>
            </w:pPr>
            <w:r>
              <w:rPr>
                <w:rFonts w:cs="宋体"/>
                <w:color w:val="auto"/>
                <w:szCs w:val="21"/>
              </w:rPr>
              <w:t>0.706</w:t>
            </w:r>
          </w:p>
        </w:tc>
        <w:tc>
          <w:tcPr>
            <w:tcW w:w="900" w:type="dxa"/>
            <w:vAlign w:val="center"/>
          </w:tcPr>
          <w:p w14:paraId="71160DC9">
            <w:pPr>
              <w:jc w:val="center"/>
              <w:rPr>
                <w:color w:val="auto"/>
                <w:szCs w:val="21"/>
              </w:rPr>
            </w:pPr>
            <w:r>
              <w:rPr>
                <w:rFonts w:cs="宋体"/>
                <w:color w:val="auto"/>
                <w:szCs w:val="21"/>
              </w:rPr>
              <w:t>0.688</w:t>
            </w:r>
          </w:p>
        </w:tc>
        <w:tc>
          <w:tcPr>
            <w:tcW w:w="888" w:type="dxa"/>
            <w:vAlign w:val="center"/>
          </w:tcPr>
          <w:p w14:paraId="0D599FF5">
            <w:pPr>
              <w:jc w:val="center"/>
              <w:rPr>
                <w:rFonts w:cs="宋体"/>
                <w:color w:val="auto"/>
                <w:szCs w:val="21"/>
              </w:rPr>
            </w:pPr>
            <w:r>
              <w:rPr>
                <w:rFonts w:hint="eastAsia" w:cs="宋体"/>
                <w:color w:val="auto"/>
                <w:szCs w:val="21"/>
              </w:rPr>
              <w:t>1.0</w:t>
            </w:r>
          </w:p>
        </w:tc>
        <w:tc>
          <w:tcPr>
            <w:tcW w:w="1128" w:type="dxa"/>
            <w:vAlign w:val="center"/>
          </w:tcPr>
          <w:p w14:paraId="3C53DD58">
            <w:pPr>
              <w:jc w:val="center"/>
              <w:rPr>
                <w:rFonts w:cs="宋体"/>
                <w:color w:val="auto"/>
                <w:szCs w:val="21"/>
              </w:rPr>
            </w:pPr>
            <w:r>
              <w:rPr>
                <w:rFonts w:hint="eastAsia" w:cs="宋体"/>
                <w:color w:val="auto"/>
                <w:szCs w:val="21"/>
              </w:rPr>
              <w:t>93.3</w:t>
            </w:r>
          </w:p>
        </w:tc>
      </w:tr>
      <w:tr w14:paraId="4F89BE9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restart"/>
            <w:vAlign w:val="center"/>
          </w:tcPr>
          <w:p w14:paraId="0EB7F294">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宿迁疾控</w:t>
            </w:r>
          </w:p>
        </w:tc>
        <w:tc>
          <w:tcPr>
            <w:tcW w:w="1116" w:type="dxa"/>
            <w:vAlign w:val="center"/>
          </w:tcPr>
          <w:p w14:paraId="6C239BD5">
            <w:pPr>
              <w:jc w:val="center"/>
              <w:rPr>
                <w:color w:val="auto"/>
                <w:szCs w:val="21"/>
              </w:rPr>
            </w:pPr>
            <w:r>
              <w:rPr>
                <w:rFonts w:hint="eastAsia"/>
                <w:color w:val="auto"/>
                <w:szCs w:val="21"/>
              </w:rPr>
              <w:t>0.1</w:t>
            </w:r>
          </w:p>
        </w:tc>
        <w:tc>
          <w:tcPr>
            <w:tcW w:w="864" w:type="dxa"/>
            <w:vAlign w:val="center"/>
          </w:tcPr>
          <w:p w14:paraId="46E48F05">
            <w:pPr>
              <w:jc w:val="center"/>
              <w:rPr>
                <w:color w:val="auto"/>
                <w:szCs w:val="21"/>
              </w:rPr>
            </w:pPr>
            <w:r>
              <w:rPr>
                <w:rFonts w:hint="eastAsia"/>
                <w:color w:val="auto"/>
                <w:szCs w:val="21"/>
              </w:rPr>
              <w:t>0.093</w:t>
            </w:r>
          </w:p>
        </w:tc>
        <w:tc>
          <w:tcPr>
            <w:tcW w:w="864" w:type="dxa"/>
            <w:vAlign w:val="center"/>
          </w:tcPr>
          <w:p w14:paraId="641C79DE">
            <w:pPr>
              <w:jc w:val="center"/>
              <w:rPr>
                <w:color w:val="auto"/>
                <w:szCs w:val="21"/>
              </w:rPr>
            </w:pPr>
            <w:r>
              <w:rPr>
                <w:rFonts w:hint="eastAsia"/>
                <w:color w:val="auto"/>
                <w:szCs w:val="21"/>
              </w:rPr>
              <w:t>0.101</w:t>
            </w:r>
          </w:p>
        </w:tc>
        <w:tc>
          <w:tcPr>
            <w:tcW w:w="840" w:type="dxa"/>
            <w:vAlign w:val="center"/>
          </w:tcPr>
          <w:p w14:paraId="7191EEDB">
            <w:pPr>
              <w:jc w:val="center"/>
              <w:rPr>
                <w:color w:val="auto"/>
                <w:szCs w:val="21"/>
              </w:rPr>
            </w:pPr>
            <w:r>
              <w:rPr>
                <w:rFonts w:hint="eastAsia"/>
                <w:color w:val="auto"/>
                <w:szCs w:val="21"/>
              </w:rPr>
              <w:t>0.102</w:t>
            </w:r>
          </w:p>
        </w:tc>
        <w:tc>
          <w:tcPr>
            <w:tcW w:w="852" w:type="dxa"/>
            <w:vAlign w:val="center"/>
          </w:tcPr>
          <w:p w14:paraId="7F6CB387">
            <w:pPr>
              <w:jc w:val="center"/>
              <w:rPr>
                <w:color w:val="auto"/>
                <w:szCs w:val="21"/>
              </w:rPr>
            </w:pPr>
            <w:r>
              <w:rPr>
                <w:rFonts w:hint="eastAsia"/>
                <w:color w:val="auto"/>
                <w:szCs w:val="21"/>
              </w:rPr>
              <w:t>0.093</w:t>
            </w:r>
          </w:p>
        </w:tc>
        <w:tc>
          <w:tcPr>
            <w:tcW w:w="852" w:type="dxa"/>
            <w:vAlign w:val="center"/>
          </w:tcPr>
          <w:p w14:paraId="3981397D">
            <w:pPr>
              <w:jc w:val="center"/>
              <w:rPr>
                <w:color w:val="auto"/>
                <w:szCs w:val="21"/>
              </w:rPr>
            </w:pPr>
            <w:r>
              <w:rPr>
                <w:rFonts w:hint="eastAsia"/>
                <w:color w:val="auto"/>
                <w:szCs w:val="21"/>
              </w:rPr>
              <w:t>0.110</w:t>
            </w:r>
          </w:p>
        </w:tc>
        <w:tc>
          <w:tcPr>
            <w:tcW w:w="900" w:type="dxa"/>
            <w:vAlign w:val="center"/>
          </w:tcPr>
          <w:p w14:paraId="09ECBC01">
            <w:pPr>
              <w:jc w:val="center"/>
              <w:rPr>
                <w:color w:val="auto"/>
                <w:szCs w:val="21"/>
              </w:rPr>
            </w:pPr>
            <w:r>
              <w:rPr>
                <w:rFonts w:hint="eastAsia"/>
                <w:color w:val="auto"/>
                <w:szCs w:val="21"/>
              </w:rPr>
              <w:t>0.092</w:t>
            </w:r>
          </w:p>
        </w:tc>
        <w:tc>
          <w:tcPr>
            <w:tcW w:w="888" w:type="dxa"/>
            <w:vAlign w:val="center"/>
          </w:tcPr>
          <w:p w14:paraId="534368AD">
            <w:pPr>
              <w:jc w:val="center"/>
              <w:rPr>
                <w:color w:val="auto"/>
                <w:szCs w:val="21"/>
              </w:rPr>
            </w:pPr>
            <w:r>
              <w:rPr>
                <w:rFonts w:hint="eastAsia"/>
                <w:color w:val="auto"/>
                <w:szCs w:val="21"/>
              </w:rPr>
              <w:t>6.6</w:t>
            </w:r>
          </w:p>
        </w:tc>
        <w:tc>
          <w:tcPr>
            <w:tcW w:w="1128" w:type="dxa"/>
            <w:vAlign w:val="center"/>
          </w:tcPr>
          <w:p w14:paraId="776F5F2B">
            <w:pPr>
              <w:jc w:val="center"/>
              <w:rPr>
                <w:color w:val="auto"/>
                <w:szCs w:val="21"/>
              </w:rPr>
            </w:pPr>
            <w:r>
              <w:rPr>
                <w:rFonts w:hint="eastAsia"/>
                <w:color w:val="auto"/>
                <w:szCs w:val="21"/>
              </w:rPr>
              <w:t>92.0-110</w:t>
            </w:r>
          </w:p>
        </w:tc>
      </w:tr>
      <w:tr w14:paraId="285580F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continue"/>
            <w:vAlign w:val="center"/>
          </w:tcPr>
          <w:p w14:paraId="6E6D84F2">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42202ED1">
            <w:pPr>
              <w:jc w:val="center"/>
              <w:rPr>
                <w:color w:val="auto"/>
                <w:szCs w:val="21"/>
              </w:rPr>
            </w:pPr>
            <w:r>
              <w:rPr>
                <w:rFonts w:hint="eastAsia"/>
                <w:color w:val="auto"/>
                <w:szCs w:val="21"/>
              </w:rPr>
              <w:t>0.5</w:t>
            </w:r>
          </w:p>
        </w:tc>
        <w:tc>
          <w:tcPr>
            <w:tcW w:w="864" w:type="dxa"/>
            <w:vAlign w:val="center"/>
          </w:tcPr>
          <w:p w14:paraId="160622DF">
            <w:pPr>
              <w:jc w:val="center"/>
              <w:rPr>
                <w:color w:val="auto"/>
                <w:szCs w:val="21"/>
              </w:rPr>
            </w:pPr>
            <w:r>
              <w:rPr>
                <w:rFonts w:hint="eastAsia"/>
                <w:color w:val="auto"/>
                <w:szCs w:val="21"/>
              </w:rPr>
              <w:t>0.478</w:t>
            </w:r>
          </w:p>
        </w:tc>
        <w:tc>
          <w:tcPr>
            <w:tcW w:w="864" w:type="dxa"/>
            <w:vAlign w:val="center"/>
          </w:tcPr>
          <w:p w14:paraId="37AAF4DC">
            <w:pPr>
              <w:jc w:val="center"/>
              <w:rPr>
                <w:color w:val="auto"/>
                <w:szCs w:val="21"/>
              </w:rPr>
            </w:pPr>
            <w:r>
              <w:rPr>
                <w:rFonts w:hint="eastAsia"/>
                <w:color w:val="auto"/>
                <w:szCs w:val="21"/>
              </w:rPr>
              <w:t>0.458</w:t>
            </w:r>
          </w:p>
        </w:tc>
        <w:tc>
          <w:tcPr>
            <w:tcW w:w="840" w:type="dxa"/>
            <w:vAlign w:val="center"/>
          </w:tcPr>
          <w:p w14:paraId="0B157BAE">
            <w:pPr>
              <w:jc w:val="center"/>
              <w:rPr>
                <w:color w:val="auto"/>
                <w:szCs w:val="21"/>
              </w:rPr>
            </w:pPr>
            <w:r>
              <w:rPr>
                <w:rFonts w:hint="eastAsia"/>
                <w:color w:val="auto"/>
                <w:szCs w:val="21"/>
              </w:rPr>
              <w:t>0.469</w:t>
            </w:r>
          </w:p>
        </w:tc>
        <w:tc>
          <w:tcPr>
            <w:tcW w:w="852" w:type="dxa"/>
            <w:vAlign w:val="center"/>
          </w:tcPr>
          <w:p w14:paraId="466A8DA5">
            <w:pPr>
              <w:jc w:val="center"/>
              <w:rPr>
                <w:color w:val="auto"/>
                <w:szCs w:val="21"/>
              </w:rPr>
            </w:pPr>
            <w:r>
              <w:rPr>
                <w:rFonts w:hint="eastAsia"/>
                <w:color w:val="auto"/>
                <w:szCs w:val="21"/>
              </w:rPr>
              <w:t>0.480</w:t>
            </w:r>
          </w:p>
        </w:tc>
        <w:tc>
          <w:tcPr>
            <w:tcW w:w="852" w:type="dxa"/>
            <w:vAlign w:val="center"/>
          </w:tcPr>
          <w:p w14:paraId="5FDA09F2">
            <w:pPr>
              <w:jc w:val="center"/>
              <w:rPr>
                <w:color w:val="auto"/>
                <w:szCs w:val="21"/>
              </w:rPr>
            </w:pPr>
            <w:r>
              <w:rPr>
                <w:rFonts w:hint="eastAsia"/>
                <w:color w:val="auto"/>
                <w:szCs w:val="21"/>
              </w:rPr>
              <w:t>0.461</w:t>
            </w:r>
          </w:p>
        </w:tc>
        <w:tc>
          <w:tcPr>
            <w:tcW w:w="900" w:type="dxa"/>
            <w:vAlign w:val="center"/>
          </w:tcPr>
          <w:p w14:paraId="34778AF4">
            <w:pPr>
              <w:jc w:val="center"/>
              <w:rPr>
                <w:color w:val="auto"/>
                <w:szCs w:val="21"/>
              </w:rPr>
            </w:pPr>
            <w:r>
              <w:rPr>
                <w:rFonts w:hint="eastAsia"/>
                <w:color w:val="auto"/>
                <w:szCs w:val="21"/>
              </w:rPr>
              <w:t>0.474</w:t>
            </w:r>
          </w:p>
        </w:tc>
        <w:tc>
          <w:tcPr>
            <w:tcW w:w="888" w:type="dxa"/>
            <w:vAlign w:val="center"/>
          </w:tcPr>
          <w:p w14:paraId="269DC430">
            <w:pPr>
              <w:jc w:val="center"/>
              <w:rPr>
                <w:color w:val="auto"/>
                <w:szCs w:val="21"/>
              </w:rPr>
            </w:pPr>
            <w:r>
              <w:rPr>
                <w:rFonts w:hint="eastAsia"/>
                <w:color w:val="auto"/>
                <w:szCs w:val="21"/>
              </w:rPr>
              <w:t>1.8</w:t>
            </w:r>
          </w:p>
        </w:tc>
        <w:tc>
          <w:tcPr>
            <w:tcW w:w="1128" w:type="dxa"/>
            <w:vAlign w:val="center"/>
          </w:tcPr>
          <w:p w14:paraId="2E4E271F">
            <w:pPr>
              <w:jc w:val="center"/>
              <w:rPr>
                <w:color w:val="auto"/>
                <w:szCs w:val="21"/>
              </w:rPr>
            </w:pPr>
            <w:r>
              <w:rPr>
                <w:rFonts w:hint="eastAsia"/>
                <w:color w:val="auto"/>
                <w:szCs w:val="21"/>
              </w:rPr>
              <w:t>91.6-96.0</w:t>
            </w:r>
          </w:p>
        </w:tc>
      </w:tr>
      <w:tr w14:paraId="13A2748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continue"/>
            <w:vAlign w:val="center"/>
          </w:tcPr>
          <w:p w14:paraId="0ED36E17">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312A1494">
            <w:pPr>
              <w:jc w:val="center"/>
              <w:rPr>
                <w:color w:val="auto"/>
                <w:szCs w:val="21"/>
              </w:rPr>
            </w:pPr>
            <w:r>
              <w:rPr>
                <w:rFonts w:hint="eastAsia"/>
                <w:color w:val="auto"/>
                <w:szCs w:val="21"/>
              </w:rPr>
              <w:t>0.75</w:t>
            </w:r>
          </w:p>
        </w:tc>
        <w:tc>
          <w:tcPr>
            <w:tcW w:w="864" w:type="dxa"/>
            <w:vAlign w:val="center"/>
          </w:tcPr>
          <w:p w14:paraId="721A154A">
            <w:pPr>
              <w:jc w:val="center"/>
              <w:rPr>
                <w:color w:val="auto"/>
                <w:szCs w:val="21"/>
              </w:rPr>
            </w:pPr>
            <w:r>
              <w:rPr>
                <w:rFonts w:hint="eastAsia"/>
                <w:color w:val="auto"/>
                <w:szCs w:val="21"/>
              </w:rPr>
              <w:t>0.753</w:t>
            </w:r>
          </w:p>
        </w:tc>
        <w:tc>
          <w:tcPr>
            <w:tcW w:w="864" w:type="dxa"/>
            <w:vAlign w:val="center"/>
          </w:tcPr>
          <w:p w14:paraId="7EAFB9E2">
            <w:pPr>
              <w:jc w:val="center"/>
              <w:rPr>
                <w:color w:val="auto"/>
                <w:szCs w:val="21"/>
              </w:rPr>
            </w:pPr>
            <w:r>
              <w:rPr>
                <w:rFonts w:hint="eastAsia"/>
                <w:color w:val="auto"/>
                <w:szCs w:val="21"/>
              </w:rPr>
              <w:t>0.710</w:t>
            </w:r>
          </w:p>
        </w:tc>
        <w:tc>
          <w:tcPr>
            <w:tcW w:w="840" w:type="dxa"/>
            <w:vAlign w:val="center"/>
          </w:tcPr>
          <w:p w14:paraId="6B997B15">
            <w:pPr>
              <w:jc w:val="center"/>
              <w:rPr>
                <w:color w:val="auto"/>
                <w:szCs w:val="21"/>
              </w:rPr>
            </w:pPr>
            <w:r>
              <w:rPr>
                <w:rFonts w:hint="eastAsia"/>
                <w:color w:val="auto"/>
                <w:szCs w:val="21"/>
              </w:rPr>
              <w:t>0.699</w:t>
            </w:r>
          </w:p>
        </w:tc>
        <w:tc>
          <w:tcPr>
            <w:tcW w:w="852" w:type="dxa"/>
            <w:vAlign w:val="center"/>
          </w:tcPr>
          <w:p w14:paraId="36971FBC">
            <w:pPr>
              <w:jc w:val="center"/>
              <w:rPr>
                <w:color w:val="auto"/>
                <w:szCs w:val="21"/>
              </w:rPr>
            </w:pPr>
            <w:r>
              <w:rPr>
                <w:rFonts w:hint="eastAsia"/>
                <w:color w:val="auto"/>
                <w:szCs w:val="21"/>
              </w:rPr>
              <w:t>0.742</w:t>
            </w:r>
          </w:p>
        </w:tc>
        <w:tc>
          <w:tcPr>
            <w:tcW w:w="852" w:type="dxa"/>
            <w:vAlign w:val="center"/>
          </w:tcPr>
          <w:p w14:paraId="630E8F74">
            <w:pPr>
              <w:jc w:val="center"/>
              <w:rPr>
                <w:color w:val="auto"/>
                <w:szCs w:val="21"/>
              </w:rPr>
            </w:pPr>
            <w:r>
              <w:rPr>
                <w:rFonts w:hint="eastAsia"/>
                <w:color w:val="auto"/>
                <w:szCs w:val="21"/>
              </w:rPr>
              <w:t>0.714</w:t>
            </w:r>
          </w:p>
        </w:tc>
        <w:tc>
          <w:tcPr>
            <w:tcW w:w="900" w:type="dxa"/>
            <w:vAlign w:val="center"/>
          </w:tcPr>
          <w:p w14:paraId="3F48DA99">
            <w:pPr>
              <w:jc w:val="center"/>
              <w:rPr>
                <w:color w:val="auto"/>
                <w:szCs w:val="21"/>
              </w:rPr>
            </w:pPr>
            <w:r>
              <w:rPr>
                <w:rFonts w:hint="eastAsia"/>
                <w:color w:val="auto"/>
                <w:szCs w:val="21"/>
              </w:rPr>
              <w:t>0.703</w:t>
            </w:r>
          </w:p>
        </w:tc>
        <w:tc>
          <w:tcPr>
            <w:tcW w:w="888" w:type="dxa"/>
            <w:vAlign w:val="center"/>
          </w:tcPr>
          <w:p w14:paraId="7E5160B8">
            <w:pPr>
              <w:jc w:val="center"/>
              <w:rPr>
                <w:color w:val="auto"/>
                <w:szCs w:val="21"/>
              </w:rPr>
            </w:pPr>
            <w:r>
              <w:rPr>
                <w:rFonts w:hint="eastAsia"/>
                <w:color w:val="auto"/>
                <w:szCs w:val="21"/>
              </w:rPr>
              <w:t>2.8</w:t>
            </w:r>
          </w:p>
        </w:tc>
        <w:tc>
          <w:tcPr>
            <w:tcW w:w="1128" w:type="dxa"/>
            <w:vAlign w:val="center"/>
          </w:tcPr>
          <w:p w14:paraId="184CE4D1">
            <w:pPr>
              <w:jc w:val="center"/>
              <w:rPr>
                <w:color w:val="auto"/>
                <w:szCs w:val="21"/>
              </w:rPr>
            </w:pPr>
            <w:r>
              <w:rPr>
                <w:rFonts w:hint="eastAsia"/>
                <w:color w:val="auto"/>
                <w:szCs w:val="21"/>
              </w:rPr>
              <w:t>93.2-100</w:t>
            </w:r>
          </w:p>
        </w:tc>
      </w:tr>
      <w:tr w14:paraId="121C53A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restart"/>
            <w:vAlign w:val="center"/>
          </w:tcPr>
          <w:p w14:paraId="20CAD426">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昆山疾控</w:t>
            </w:r>
          </w:p>
        </w:tc>
        <w:tc>
          <w:tcPr>
            <w:tcW w:w="1116" w:type="dxa"/>
            <w:vAlign w:val="center"/>
          </w:tcPr>
          <w:p w14:paraId="5E0523F7">
            <w:pPr>
              <w:jc w:val="center"/>
              <w:rPr>
                <w:color w:val="auto"/>
                <w:szCs w:val="21"/>
              </w:rPr>
            </w:pPr>
            <w:r>
              <w:rPr>
                <w:rFonts w:hint="eastAsia"/>
                <w:color w:val="auto"/>
                <w:szCs w:val="21"/>
              </w:rPr>
              <w:t>0.1</w:t>
            </w:r>
          </w:p>
        </w:tc>
        <w:tc>
          <w:tcPr>
            <w:tcW w:w="864" w:type="dxa"/>
            <w:vAlign w:val="center"/>
          </w:tcPr>
          <w:p w14:paraId="73B003AB">
            <w:pPr>
              <w:jc w:val="center"/>
              <w:rPr>
                <w:color w:val="auto"/>
                <w:szCs w:val="21"/>
              </w:rPr>
            </w:pPr>
            <w:r>
              <w:rPr>
                <w:rFonts w:hint="eastAsia"/>
                <w:color w:val="auto"/>
                <w:szCs w:val="21"/>
              </w:rPr>
              <w:t>0.0903</w:t>
            </w:r>
          </w:p>
        </w:tc>
        <w:tc>
          <w:tcPr>
            <w:tcW w:w="864" w:type="dxa"/>
            <w:vAlign w:val="center"/>
          </w:tcPr>
          <w:p w14:paraId="3EFDCAB1">
            <w:pPr>
              <w:jc w:val="center"/>
              <w:rPr>
                <w:color w:val="auto"/>
                <w:szCs w:val="21"/>
              </w:rPr>
            </w:pPr>
            <w:r>
              <w:rPr>
                <w:rFonts w:hint="eastAsia"/>
                <w:color w:val="auto"/>
                <w:szCs w:val="21"/>
              </w:rPr>
              <w:t>0.0914</w:t>
            </w:r>
          </w:p>
        </w:tc>
        <w:tc>
          <w:tcPr>
            <w:tcW w:w="840" w:type="dxa"/>
            <w:vAlign w:val="center"/>
          </w:tcPr>
          <w:p w14:paraId="35444BE3">
            <w:pPr>
              <w:jc w:val="center"/>
              <w:rPr>
                <w:color w:val="auto"/>
                <w:szCs w:val="21"/>
              </w:rPr>
            </w:pPr>
            <w:r>
              <w:rPr>
                <w:rFonts w:hint="eastAsia"/>
                <w:color w:val="auto"/>
                <w:szCs w:val="21"/>
              </w:rPr>
              <w:t>0.0893</w:t>
            </w:r>
          </w:p>
        </w:tc>
        <w:tc>
          <w:tcPr>
            <w:tcW w:w="852" w:type="dxa"/>
            <w:vAlign w:val="center"/>
          </w:tcPr>
          <w:p w14:paraId="15AB4DC0">
            <w:pPr>
              <w:jc w:val="center"/>
              <w:rPr>
                <w:color w:val="auto"/>
                <w:szCs w:val="21"/>
              </w:rPr>
            </w:pPr>
            <w:r>
              <w:rPr>
                <w:rFonts w:hint="eastAsia"/>
                <w:color w:val="auto"/>
                <w:szCs w:val="21"/>
              </w:rPr>
              <w:t>0.0936</w:t>
            </w:r>
          </w:p>
        </w:tc>
        <w:tc>
          <w:tcPr>
            <w:tcW w:w="852" w:type="dxa"/>
            <w:vAlign w:val="center"/>
          </w:tcPr>
          <w:p w14:paraId="2E59D3F1">
            <w:pPr>
              <w:jc w:val="center"/>
              <w:rPr>
                <w:color w:val="auto"/>
                <w:szCs w:val="21"/>
              </w:rPr>
            </w:pPr>
            <w:r>
              <w:rPr>
                <w:rFonts w:hint="eastAsia"/>
                <w:color w:val="auto"/>
                <w:szCs w:val="21"/>
              </w:rPr>
              <w:t>0.0958</w:t>
            </w:r>
          </w:p>
        </w:tc>
        <w:tc>
          <w:tcPr>
            <w:tcW w:w="900" w:type="dxa"/>
            <w:vAlign w:val="center"/>
          </w:tcPr>
          <w:p w14:paraId="2FA70C40">
            <w:pPr>
              <w:jc w:val="center"/>
              <w:rPr>
                <w:color w:val="auto"/>
                <w:szCs w:val="21"/>
              </w:rPr>
            </w:pPr>
            <w:r>
              <w:rPr>
                <w:rFonts w:hint="eastAsia"/>
                <w:color w:val="auto"/>
                <w:szCs w:val="21"/>
              </w:rPr>
              <w:t>0.0885</w:t>
            </w:r>
          </w:p>
        </w:tc>
        <w:tc>
          <w:tcPr>
            <w:tcW w:w="888" w:type="dxa"/>
            <w:vAlign w:val="center"/>
          </w:tcPr>
          <w:p w14:paraId="54D4A4AF">
            <w:pPr>
              <w:jc w:val="center"/>
              <w:rPr>
                <w:color w:val="auto"/>
                <w:szCs w:val="21"/>
              </w:rPr>
            </w:pPr>
            <w:r>
              <w:rPr>
                <w:rFonts w:hint="eastAsia"/>
                <w:color w:val="auto"/>
                <w:szCs w:val="21"/>
              </w:rPr>
              <w:t>3.0</w:t>
            </w:r>
          </w:p>
        </w:tc>
        <w:tc>
          <w:tcPr>
            <w:tcW w:w="1128" w:type="dxa"/>
            <w:vAlign w:val="center"/>
          </w:tcPr>
          <w:p w14:paraId="189F700F">
            <w:pPr>
              <w:jc w:val="center"/>
              <w:rPr>
                <w:color w:val="auto"/>
                <w:szCs w:val="21"/>
              </w:rPr>
            </w:pPr>
            <w:r>
              <w:rPr>
                <w:rFonts w:hint="eastAsia"/>
                <w:color w:val="auto"/>
                <w:szCs w:val="21"/>
              </w:rPr>
              <w:t>91.5</w:t>
            </w:r>
          </w:p>
        </w:tc>
      </w:tr>
      <w:tr w14:paraId="385B34B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continue"/>
            <w:vAlign w:val="center"/>
          </w:tcPr>
          <w:p w14:paraId="76B76677">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0C6D5A9C">
            <w:pPr>
              <w:jc w:val="center"/>
              <w:rPr>
                <w:color w:val="auto"/>
                <w:szCs w:val="21"/>
              </w:rPr>
            </w:pPr>
            <w:r>
              <w:rPr>
                <w:rFonts w:hint="eastAsia"/>
                <w:color w:val="auto"/>
                <w:szCs w:val="21"/>
              </w:rPr>
              <w:t>0.5</w:t>
            </w:r>
          </w:p>
        </w:tc>
        <w:tc>
          <w:tcPr>
            <w:tcW w:w="864" w:type="dxa"/>
            <w:vAlign w:val="center"/>
          </w:tcPr>
          <w:p w14:paraId="41A52220">
            <w:pPr>
              <w:jc w:val="center"/>
              <w:rPr>
                <w:color w:val="auto"/>
                <w:szCs w:val="21"/>
              </w:rPr>
            </w:pPr>
            <w:r>
              <w:rPr>
                <w:rFonts w:hint="eastAsia"/>
                <w:color w:val="auto"/>
                <w:szCs w:val="21"/>
              </w:rPr>
              <w:t>0.454</w:t>
            </w:r>
          </w:p>
        </w:tc>
        <w:tc>
          <w:tcPr>
            <w:tcW w:w="864" w:type="dxa"/>
            <w:vAlign w:val="center"/>
          </w:tcPr>
          <w:p w14:paraId="1039316B">
            <w:pPr>
              <w:jc w:val="center"/>
              <w:rPr>
                <w:color w:val="auto"/>
                <w:szCs w:val="21"/>
              </w:rPr>
            </w:pPr>
            <w:r>
              <w:rPr>
                <w:rFonts w:hint="eastAsia"/>
                <w:color w:val="auto"/>
                <w:szCs w:val="21"/>
              </w:rPr>
              <w:t>0.439</w:t>
            </w:r>
          </w:p>
        </w:tc>
        <w:tc>
          <w:tcPr>
            <w:tcW w:w="840" w:type="dxa"/>
            <w:vAlign w:val="center"/>
          </w:tcPr>
          <w:p w14:paraId="099A503F">
            <w:pPr>
              <w:jc w:val="center"/>
              <w:rPr>
                <w:color w:val="auto"/>
                <w:szCs w:val="21"/>
              </w:rPr>
            </w:pPr>
            <w:r>
              <w:rPr>
                <w:rFonts w:hint="eastAsia"/>
                <w:color w:val="auto"/>
                <w:szCs w:val="21"/>
              </w:rPr>
              <w:t>0.444</w:t>
            </w:r>
          </w:p>
        </w:tc>
        <w:tc>
          <w:tcPr>
            <w:tcW w:w="852" w:type="dxa"/>
            <w:vAlign w:val="center"/>
          </w:tcPr>
          <w:p w14:paraId="622CF9ED">
            <w:pPr>
              <w:jc w:val="center"/>
              <w:rPr>
                <w:color w:val="auto"/>
                <w:szCs w:val="21"/>
              </w:rPr>
            </w:pPr>
            <w:r>
              <w:rPr>
                <w:rFonts w:hint="eastAsia"/>
                <w:color w:val="auto"/>
                <w:szCs w:val="21"/>
              </w:rPr>
              <w:t>0.474</w:t>
            </w:r>
          </w:p>
        </w:tc>
        <w:tc>
          <w:tcPr>
            <w:tcW w:w="852" w:type="dxa"/>
            <w:vAlign w:val="center"/>
          </w:tcPr>
          <w:p w14:paraId="7BD8AD1D">
            <w:pPr>
              <w:jc w:val="center"/>
              <w:rPr>
                <w:color w:val="auto"/>
                <w:szCs w:val="21"/>
              </w:rPr>
            </w:pPr>
            <w:r>
              <w:rPr>
                <w:rFonts w:hint="eastAsia"/>
                <w:color w:val="auto"/>
                <w:szCs w:val="21"/>
              </w:rPr>
              <w:t>0.476</w:t>
            </w:r>
          </w:p>
        </w:tc>
        <w:tc>
          <w:tcPr>
            <w:tcW w:w="900" w:type="dxa"/>
            <w:vAlign w:val="center"/>
          </w:tcPr>
          <w:p w14:paraId="4C5E95F4">
            <w:pPr>
              <w:jc w:val="center"/>
              <w:rPr>
                <w:color w:val="auto"/>
                <w:szCs w:val="21"/>
              </w:rPr>
            </w:pPr>
            <w:r>
              <w:rPr>
                <w:rFonts w:hint="eastAsia"/>
                <w:color w:val="auto"/>
                <w:szCs w:val="21"/>
              </w:rPr>
              <w:t>0.439</w:t>
            </w:r>
          </w:p>
        </w:tc>
        <w:tc>
          <w:tcPr>
            <w:tcW w:w="888" w:type="dxa"/>
            <w:vAlign w:val="center"/>
          </w:tcPr>
          <w:p w14:paraId="1231D168">
            <w:pPr>
              <w:jc w:val="center"/>
              <w:rPr>
                <w:color w:val="auto"/>
                <w:szCs w:val="21"/>
              </w:rPr>
            </w:pPr>
            <w:r>
              <w:rPr>
                <w:rFonts w:hint="eastAsia"/>
                <w:color w:val="auto"/>
                <w:szCs w:val="21"/>
              </w:rPr>
              <w:t>3.7</w:t>
            </w:r>
          </w:p>
        </w:tc>
        <w:tc>
          <w:tcPr>
            <w:tcW w:w="1128" w:type="dxa"/>
            <w:vAlign w:val="center"/>
          </w:tcPr>
          <w:p w14:paraId="7F6772A5">
            <w:pPr>
              <w:jc w:val="center"/>
              <w:rPr>
                <w:color w:val="auto"/>
                <w:szCs w:val="21"/>
              </w:rPr>
            </w:pPr>
            <w:r>
              <w:rPr>
                <w:rFonts w:hint="eastAsia"/>
                <w:color w:val="auto"/>
                <w:szCs w:val="21"/>
              </w:rPr>
              <w:t>90.9</w:t>
            </w:r>
          </w:p>
        </w:tc>
      </w:tr>
      <w:tr w14:paraId="0DE27DB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53" w:type="dxa"/>
            <w:vMerge w:val="continue"/>
            <w:vAlign w:val="center"/>
          </w:tcPr>
          <w:p w14:paraId="0F1C5803">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1D702175">
            <w:pPr>
              <w:jc w:val="center"/>
              <w:rPr>
                <w:color w:val="auto"/>
                <w:szCs w:val="21"/>
              </w:rPr>
            </w:pPr>
            <w:r>
              <w:rPr>
                <w:rFonts w:hint="eastAsia"/>
                <w:color w:val="auto"/>
                <w:szCs w:val="21"/>
              </w:rPr>
              <w:t>0.75</w:t>
            </w:r>
          </w:p>
        </w:tc>
        <w:tc>
          <w:tcPr>
            <w:tcW w:w="864" w:type="dxa"/>
            <w:vAlign w:val="center"/>
          </w:tcPr>
          <w:p w14:paraId="7C4E8DBF">
            <w:pPr>
              <w:jc w:val="center"/>
              <w:rPr>
                <w:color w:val="auto"/>
                <w:szCs w:val="21"/>
              </w:rPr>
            </w:pPr>
            <w:r>
              <w:rPr>
                <w:rFonts w:hint="eastAsia"/>
                <w:color w:val="auto"/>
                <w:szCs w:val="21"/>
              </w:rPr>
              <w:t>0.708</w:t>
            </w:r>
          </w:p>
        </w:tc>
        <w:tc>
          <w:tcPr>
            <w:tcW w:w="864" w:type="dxa"/>
            <w:vAlign w:val="center"/>
          </w:tcPr>
          <w:p w14:paraId="7B03E943">
            <w:pPr>
              <w:jc w:val="center"/>
              <w:rPr>
                <w:color w:val="auto"/>
                <w:szCs w:val="21"/>
              </w:rPr>
            </w:pPr>
            <w:r>
              <w:rPr>
                <w:rFonts w:hint="eastAsia"/>
                <w:color w:val="auto"/>
                <w:szCs w:val="21"/>
              </w:rPr>
              <w:t>0.714</w:t>
            </w:r>
          </w:p>
        </w:tc>
        <w:tc>
          <w:tcPr>
            <w:tcW w:w="840" w:type="dxa"/>
            <w:vAlign w:val="center"/>
          </w:tcPr>
          <w:p w14:paraId="1E669F3E">
            <w:pPr>
              <w:jc w:val="center"/>
              <w:rPr>
                <w:color w:val="auto"/>
                <w:szCs w:val="21"/>
              </w:rPr>
            </w:pPr>
            <w:r>
              <w:rPr>
                <w:rFonts w:hint="eastAsia"/>
                <w:color w:val="auto"/>
                <w:szCs w:val="21"/>
              </w:rPr>
              <w:t>0.704</w:t>
            </w:r>
          </w:p>
        </w:tc>
        <w:tc>
          <w:tcPr>
            <w:tcW w:w="852" w:type="dxa"/>
            <w:vAlign w:val="center"/>
          </w:tcPr>
          <w:p w14:paraId="0DC408F4">
            <w:pPr>
              <w:jc w:val="center"/>
              <w:rPr>
                <w:color w:val="auto"/>
                <w:szCs w:val="21"/>
              </w:rPr>
            </w:pPr>
            <w:r>
              <w:rPr>
                <w:rFonts w:hint="eastAsia"/>
                <w:color w:val="auto"/>
                <w:szCs w:val="21"/>
              </w:rPr>
              <w:t>0.703</w:t>
            </w:r>
          </w:p>
        </w:tc>
        <w:tc>
          <w:tcPr>
            <w:tcW w:w="852" w:type="dxa"/>
            <w:vAlign w:val="center"/>
          </w:tcPr>
          <w:p w14:paraId="2DE9F0DA">
            <w:pPr>
              <w:jc w:val="center"/>
              <w:rPr>
                <w:color w:val="auto"/>
                <w:szCs w:val="21"/>
              </w:rPr>
            </w:pPr>
            <w:r>
              <w:rPr>
                <w:rFonts w:hint="eastAsia"/>
                <w:color w:val="auto"/>
                <w:szCs w:val="21"/>
              </w:rPr>
              <w:t>0.710</w:t>
            </w:r>
          </w:p>
        </w:tc>
        <w:tc>
          <w:tcPr>
            <w:tcW w:w="900" w:type="dxa"/>
            <w:vAlign w:val="center"/>
          </w:tcPr>
          <w:p w14:paraId="6BA1468D">
            <w:pPr>
              <w:jc w:val="center"/>
              <w:rPr>
                <w:color w:val="auto"/>
                <w:szCs w:val="21"/>
              </w:rPr>
            </w:pPr>
            <w:r>
              <w:rPr>
                <w:rFonts w:hint="eastAsia"/>
                <w:color w:val="auto"/>
                <w:szCs w:val="21"/>
              </w:rPr>
              <w:t>0.674</w:t>
            </w:r>
          </w:p>
        </w:tc>
        <w:tc>
          <w:tcPr>
            <w:tcW w:w="888" w:type="dxa"/>
            <w:vAlign w:val="center"/>
          </w:tcPr>
          <w:p w14:paraId="3957E0CB">
            <w:pPr>
              <w:jc w:val="center"/>
              <w:rPr>
                <w:color w:val="auto"/>
                <w:szCs w:val="21"/>
              </w:rPr>
            </w:pPr>
            <w:r>
              <w:rPr>
                <w:rFonts w:hint="eastAsia"/>
                <w:color w:val="auto"/>
                <w:szCs w:val="21"/>
              </w:rPr>
              <w:t>2.0</w:t>
            </w:r>
          </w:p>
        </w:tc>
        <w:tc>
          <w:tcPr>
            <w:tcW w:w="1128" w:type="dxa"/>
            <w:vAlign w:val="center"/>
          </w:tcPr>
          <w:p w14:paraId="6DB6B811">
            <w:pPr>
              <w:jc w:val="center"/>
              <w:rPr>
                <w:color w:val="auto"/>
                <w:szCs w:val="21"/>
              </w:rPr>
            </w:pPr>
            <w:r>
              <w:rPr>
                <w:rFonts w:hint="eastAsia"/>
                <w:color w:val="auto"/>
                <w:szCs w:val="21"/>
              </w:rPr>
              <w:t>93.6</w:t>
            </w:r>
          </w:p>
        </w:tc>
      </w:tr>
    </w:tbl>
    <w:p w14:paraId="3EAD8E5D">
      <w:pPr>
        <w:pStyle w:val="19"/>
        <w:spacing w:line="460" w:lineRule="exact"/>
        <w:ind w:firstLine="420" w:firstLineChars="200"/>
        <w:jc w:val="center"/>
        <w:rPr>
          <w:rFonts w:ascii="Times New Roman" w:hAnsi="Times New Roman" w:eastAsia="仿宋" w:cs="Times New Roman"/>
          <w:color w:val="auto"/>
          <w:kern w:val="2"/>
          <w:sz w:val="21"/>
          <w:szCs w:val="21"/>
        </w:rPr>
      </w:pPr>
    </w:p>
    <w:p w14:paraId="1175801D">
      <w:pPr>
        <w:pStyle w:val="19"/>
        <w:spacing w:line="460" w:lineRule="exact"/>
        <w:ind w:firstLine="420" w:firstLineChars="200"/>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表1</w:t>
      </w:r>
      <w:r>
        <w:rPr>
          <w:rFonts w:hint="eastAsia" w:ascii="Times New Roman" w:hAnsi="Times New Roman" w:eastAsia="仿宋" w:cs="Times New Roman"/>
          <w:color w:val="auto"/>
          <w:kern w:val="2"/>
          <w:sz w:val="21"/>
          <w:szCs w:val="21"/>
          <w:lang w:val="en-US" w:eastAsia="zh-CN"/>
        </w:rPr>
        <w:t xml:space="preserve">5 </w:t>
      </w:r>
      <w:r>
        <w:rPr>
          <w:rFonts w:hint="eastAsia" w:ascii="Times New Roman" w:hAnsi="Times New Roman" w:eastAsia="仿宋" w:cs="Times New Roman"/>
          <w:color w:val="auto"/>
          <w:kern w:val="2"/>
          <w:sz w:val="21"/>
          <w:szCs w:val="21"/>
        </w:rPr>
        <w:t>三家验证单位批间精密度验证结果</w:t>
      </w:r>
    </w:p>
    <w:tbl>
      <w:tblPr>
        <w:tblStyle w:val="22"/>
        <w:tblW w:w="8329"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53"/>
        <w:gridCol w:w="1116"/>
        <w:gridCol w:w="864"/>
        <w:gridCol w:w="864"/>
        <w:gridCol w:w="840"/>
        <w:gridCol w:w="852"/>
        <w:gridCol w:w="852"/>
        <w:gridCol w:w="900"/>
        <w:gridCol w:w="888"/>
      </w:tblGrid>
      <w:tr w14:paraId="1175E39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restart"/>
            <w:tcBorders>
              <w:top w:val="single" w:color="auto" w:sz="12" w:space="0"/>
            </w:tcBorders>
            <w:vAlign w:val="center"/>
          </w:tcPr>
          <w:p w14:paraId="7C013282">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单位</w:t>
            </w:r>
          </w:p>
        </w:tc>
        <w:tc>
          <w:tcPr>
            <w:tcW w:w="1116" w:type="dxa"/>
            <w:vMerge w:val="restart"/>
            <w:tcBorders>
              <w:top w:val="single" w:color="auto" w:sz="12" w:space="0"/>
            </w:tcBorders>
            <w:vAlign w:val="center"/>
          </w:tcPr>
          <w:p w14:paraId="488778D2">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加标浓度（mg/L）</w:t>
            </w:r>
          </w:p>
        </w:tc>
        <w:tc>
          <w:tcPr>
            <w:tcW w:w="5172" w:type="dxa"/>
            <w:gridSpan w:val="6"/>
            <w:tcBorders>
              <w:top w:val="single" w:color="auto" w:sz="12" w:space="0"/>
              <w:bottom w:val="single" w:color="auto" w:sz="8" w:space="0"/>
            </w:tcBorders>
            <w:vAlign w:val="center"/>
          </w:tcPr>
          <w:p w14:paraId="4F727B8D">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测定值(mg/L)</w:t>
            </w:r>
          </w:p>
        </w:tc>
        <w:tc>
          <w:tcPr>
            <w:tcW w:w="888" w:type="dxa"/>
            <w:vMerge w:val="restart"/>
            <w:tcBorders>
              <w:top w:val="single" w:color="auto" w:sz="12" w:space="0"/>
            </w:tcBorders>
            <w:vAlign w:val="center"/>
          </w:tcPr>
          <w:p w14:paraId="12E945CF">
            <w:pPr>
              <w:jc w:val="center"/>
              <w:rPr>
                <w:rFonts w:eastAsia="仿宋"/>
                <w:color w:val="auto"/>
                <w:szCs w:val="21"/>
              </w:rPr>
            </w:pPr>
            <w:r>
              <w:rPr>
                <w:rFonts w:hint="eastAsia"/>
                <w:color w:val="auto"/>
                <w:szCs w:val="21"/>
              </w:rPr>
              <w:t>RSD（%）</w:t>
            </w:r>
          </w:p>
        </w:tc>
      </w:tr>
      <w:tr w14:paraId="0392650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tcBorders>
              <w:bottom w:val="single" w:color="auto" w:sz="8" w:space="0"/>
            </w:tcBorders>
            <w:vAlign w:val="center"/>
          </w:tcPr>
          <w:p w14:paraId="3E487BA5">
            <w:pPr>
              <w:pStyle w:val="19"/>
              <w:spacing w:line="460" w:lineRule="exact"/>
              <w:jc w:val="center"/>
              <w:rPr>
                <w:rFonts w:ascii="Times New Roman" w:hAnsi="Times New Roman" w:eastAsia="仿宋" w:cs="Times New Roman"/>
                <w:color w:val="auto"/>
                <w:kern w:val="2"/>
                <w:sz w:val="21"/>
                <w:szCs w:val="21"/>
              </w:rPr>
            </w:pPr>
          </w:p>
        </w:tc>
        <w:tc>
          <w:tcPr>
            <w:tcW w:w="1116" w:type="dxa"/>
            <w:vMerge w:val="continue"/>
            <w:tcBorders>
              <w:bottom w:val="single" w:color="auto" w:sz="8" w:space="0"/>
            </w:tcBorders>
            <w:vAlign w:val="center"/>
          </w:tcPr>
          <w:p w14:paraId="66BF4CD9">
            <w:pPr>
              <w:pStyle w:val="19"/>
              <w:spacing w:line="460" w:lineRule="exact"/>
              <w:jc w:val="center"/>
              <w:rPr>
                <w:rFonts w:ascii="Times New Roman" w:hAnsi="Times New Roman" w:eastAsia="仿宋" w:cs="Times New Roman"/>
                <w:color w:val="auto"/>
                <w:kern w:val="2"/>
                <w:sz w:val="21"/>
                <w:szCs w:val="21"/>
              </w:rPr>
            </w:pPr>
          </w:p>
        </w:tc>
        <w:tc>
          <w:tcPr>
            <w:tcW w:w="864" w:type="dxa"/>
            <w:tcBorders>
              <w:top w:val="single" w:color="auto" w:sz="12" w:space="0"/>
              <w:bottom w:val="single" w:color="auto" w:sz="8" w:space="0"/>
            </w:tcBorders>
            <w:vAlign w:val="center"/>
          </w:tcPr>
          <w:p w14:paraId="1C57F085">
            <w:pPr>
              <w:jc w:val="center"/>
              <w:rPr>
                <w:rFonts w:eastAsia="仿宋"/>
                <w:color w:val="auto"/>
                <w:szCs w:val="21"/>
              </w:rPr>
            </w:pPr>
            <w:r>
              <w:rPr>
                <w:rFonts w:hint="eastAsia"/>
                <w:color w:val="auto"/>
                <w:szCs w:val="21"/>
              </w:rPr>
              <w:t>1</w:t>
            </w:r>
          </w:p>
        </w:tc>
        <w:tc>
          <w:tcPr>
            <w:tcW w:w="864" w:type="dxa"/>
            <w:tcBorders>
              <w:top w:val="single" w:color="auto" w:sz="12" w:space="0"/>
              <w:bottom w:val="single" w:color="auto" w:sz="8" w:space="0"/>
            </w:tcBorders>
            <w:vAlign w:val="center"/>
          </w:tcPr>
          <w:p w14:paraId="0B9A4AA4">
            <w:pPr>
              <w:jc w:val="center"/>
              <w:rPr>
                <w:rFonts w:eastAsia="仿宋"/>
                <w:color w:val="auto"/>
                <w:szCs w:val="21"/>
              </w:rPr>
            </w:pPr>
            <w:r>
              <w:rPr>
                <w:rFonts w:hint="eastAsia"/>
                <w:color w:val="auto"/>
                <w:szCs w:val="21"/>
              </w:rPr>
              <w:t>2</w:t>
            </w:r>
          </w:p>
        </w:tc>
        <w:tc>
          <w:tcPr>
            <w:tcW w:w="840" w:type="dxa"/>
            <w:tcBorders>
              <w:top w:val="single" w:color="auto" w:sz="12" w:space="0"/>
              <w:bottom w:val="single" w:color="auto" w:sz="8" w:space="0"/>
            </w:tcBorders>
            <w:vAlign w:val="center"/>
          </w:tcPr>
          <w:p w14:paraId="5B74BF37">
            <w:pPr>
              <w:jc w:val="center"/>
              <w:rPr>
                <w:rFonts w:eastAsia="仿宋"/>
                <w:color w:val="auto"/>
                <w:szCs w:val="21"/>
              </w:rPr>
            </w:pPr>
            <w:r>
              <w:rPr>
                <w:rFonts w:hint="eastAsia"/>
                <w:color w:val="auto"/>
                <w:szCs w:val="21"/>
              </w:rPr>
              <w:t>3</w:t>
            </w:r>
          </w:p>
        </w:tc>
        <w:tc>
          <w:tcPr>
            <w:tcW w:w="852" w:type="dxa"/>
            <w:tcBorders>
              <w:top w:val="single" w:color="auto" w:sz="12" w:space="0"/>
              <w:bottom w:val="single" w:color="auto" w:sz="8" w:space="0"/>
            </w:tcBorders>
            <w:vAlign w:val="center"/>
          </w:tcPr>
          <w:p w14:paraId="51BE9844">
            <w:pPr>
              <w:jc w:val="center"/>
              <w:rPr>
                <w:rFonts w:eastAsia="仿宋"/>
                <w:color w:val="auto"/>
                <w:szCs w:val="21"/>
              </w:rPr>
            </w:pPr>
            <w:r>
              <w:rPr>
                <w:rFonts w:hint="eastAsia"/>
                <w:color w:val="auto"/>
                <w:szCs w:val="21"/>
              </w:rPr>
              <w:t>4</w:t>
            </w:r>
          </w:p>
        </w:tc>
        <w:tc>
          <w:tcPr>
            <w:tcW w:w="852" w:type="dxa"/>
            <w:tcBorders>
              <w:top w:val="single" w:color="auto" w:sz="12" w:space="0"/>
              <w:bottom w:val="single" w:color="auto" w:sz="8" w:space="0"/>
            </w:tcBorders>
            <w:vAlign w:val="center"/>
          </w:tcPr>
          <w:p w14:paraId="0116AD4B">
            <w:pPr>
              <w:jc w:val="center"/>
              <w:rPr>
                <w:rFonts w:eastAsia="仿宋"/>
                <w:color w:val="auto"/>
                <w:szCs w:val="21"/>
              </w:rPr>
            </w:pPr>
            <w:r>
              <w:rPr>
                <w:rFonts w:hint="eastAsia"/>
                <w:color w:val="auto"/>
                <w:szCs w:val="21"/>
              </w:rPr>
              <w:t>5</w:t>
            </w:r>
          </w:p>
        </w:tc>
        <w:tc>
          <w:tcPr>
            <w:tcW w:w="900" w:type="dxa"/>
            <w:tcBorders>
              <w:top w:val="single" w:color="auto" w:sz="12" w:space="0"/>
              <w:bottom w:val="single" w:color="auto" w:sz="8" w:space="0"/>
            </w:tcBorders>
            <w:vAlign w:val="center"/>
          </w:tcPr>
          <w:p w14:paraId="152E7776">
            <w:pPr>
              <w:jc w:val="center"/>
              <w:rPr>
                <w:rFonts w:eastAsia="仿宋"/>
                <w:color w:val="auto"/>
                <w:szCs w:val="21"/>
              </w:rPr>
            </w:pPr>
            <w:r>
              <w:rPr>
                <w:rFonts w:hint="eastAsia"/>
                <w:color w:val="auto"/>
                <w:szCs w:val="21"/>
              </w:rPr>
              <w:t>6</w:t>
            </w:r>
          </w:p>
        </w:tc>
        <w:tc>
          <w:tcPr>
            <w:tcW w:w="888" w:type="dxa"/>
            <w:vMerge w:val="continue"/>
            <w:tcBorders>
              <w:bottom w:val="single" w:color="auto" w:sz="8" w:space="0"/>
            </w:tcBorders>
            <w:vAlign w:val="center"/>
          </w:tcPr>
          <w:p w14:paraId="17877B35">
            <w:pPr>
              <w:jc w:val="center"/>
              <w:rPr>
                <w:color w:val="auto"/>
                <w:szCs w:val="21"/>
              </w:rPr>
            </w:pPr>
          </w:p>
        </w:tc>
      </w:tr>
      <w:tr w14:paraId="588CF35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restart"/>
            <w:tcBorders>
              <w:top w:val="single" w:color="auto" w:sz="8" w:space="0"/>
            </w:tcBorders>
            <w:vAlign w:val="center"/>
          </w:tcPr>
          <w:p w14:paraId="0B1E2CEA">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淮安疾控</w:t>
            </w:r>
          </w:p>
        </w:tc>
        <w:tc>
          <w:tcPr>
            <w:tcW w:w="1116" w:type="dxa"/>
            <w:tcBorders>
              <w:top w:val="single" w:color="auto" w:sz="8" w:space="0"/>
            </w:tcBorders>
            <w:vAlign w:val="center"/>
          </w:tcPr>
          <w:p w14:paraId="4CF7EC50">
            <w:pPr>
              <w:jc w:val="center"/>
              <w:rPr>
                <w:rFonts w:eastAsia="仿宋"/>
                <w:color w:val="auto"/>
                <w:szCs w:val="21"/>
              </w:rPr>
            </w:pPr>
            <w:r>
              <w:rPr>
                <w:rFonts w:hint="eastAsia"/>
                <w:color w:val="auto"/>
                <w:szCs w:val="21"/>
              </w:rPr>
              <w:t>0.1</w:t>
            </w:r>
          </w:p>
        </w:tc>
        <w:tc>
          <w:tcPr>
            <w:tcW w:w="864" w:type="dxa"/>
            <w:tcBorders>
              <w:top w:val="single" w:color="auto" w:sz="8" w:space="0"/>
            </w:tcBorders>
            <w:vAlign w:val="center"/>
          </w:tcPr>
          <w:p w14:paraId="2A8C5C7B">
            <w:pPr>
              <w:jc w:val="center"/>
              <w:rPr>
                <w:color w:val="auto"/>
                <w:szCs w:val="21"/>
              </w:rPr>
            </w:pPr>
            <w:r>
              <w:rPr>
                <w:rFonts w:hint="eastAsia" w:cs="宋体"/>
                <w:color w:val="auto"/>
                <w:szCs w:val="21"/>
              </w:rPr>
              <w:t>0.0934</w:t>
            </w:r>
          </w:p>
        </w:tc>
        <w:tc>
          <w:tcPr>
            <w:tcW w:w="864" w:type="dxa"/>
            <w:tcBorders>
              <w:top w:val="single" w:color="auto" w:sz="8" w:space="0"/>
            </w:tcBorders>
            <w:vAlign w:val="center"/>
          </w:tcPr>
          <w:p w14:paraId="09073418">
            <w:pPr>
              <w:jc w:val="center"/>
              <w:rPr>
                <w:color w:val="auto"/>
                <w:szCs w:val="21"/>
              </w:rPr>
            </w:pPr>
            <w:r>
              <w:rPr>
                <w:rFonts w:hint="eastAsia" w:cs="宋体"/>
                <w:color w:val="auto"/>
                <w:szCs w:val="21"/>
              </w:rPr>
              <w:t>0.0901</w:t>
            </w:r>
          </w:p>
        </w:tc>
        <w:tc>
          <w:tcPr>
            <w:tcW w:w="840" w:type="dxa"/>
            <w:tcBorders>
              <w:top w:val="single" w:color="auto" w:sz="8" w:space="0"/>
            </w:tcBorders>
            <w:vAlign w:val="center"/>
          </w:tcPr>
          <w:p w14:paraId="24E33080">
            <w:pPr>
              <w:jc w:val="center"/>
              <w:rPr>
                <w:color w:val="auto"/>
                <w:szCs w:val="21"/>
              </w:rPr>
            </w:pPr>
            <w:r>
              <w:rPr>
                <w:rFonts w:hint="eastAsia" w:cs="宋体"/>
                <w:color w:val="auto"/>
                <w:szCs w:val="21"/>
              </w:rPr>
              <w:t>0.0892</w:t>
            </w:r>
          </w:p>
        </w:tc>
        <w:tc>
          <w:tcPr>
            <w:tcW w:w="852" w:type="dxa"/>
            <w:tcBorders>
              <w:top w:val="single" w:color="auto" w:sz="8" w:space="0"/>
            </w:tcBorders>
            <w:vAlign w:val="center"/>
          </w:tcPr>
          <w:p w14:paraId="07A25478">
            <w:pPr>
              <w:jc w:val="center"/>
              <w:rPr>
                <w:color w:val="auto"/>
                <w:szCs w:val="21"/>
              </w:rPr>
            </w:pPr>
            <w:r>
              <w:rPr>
                <w:rFonts w:hint="eastAsia" w:cs="宋体"/>
                <w:color w:val="auto"/>
                <w:szCs w:val="21"/>
              </w:rPr>
              <w:t>0.0888</w:t>
            </w:r>
          </w:p>
        </w:tc>
        <w:tc>
          <w:tcPr>
            <w:tcW w:w="852" w:type="dxa"/>
            <w:tcBorders>
              <w:top w:val="single" w:color="auto" w:sz="8" w:space="0"/>
            </w:tcBorders>
            <w:vAlign w:val="center"/>
          </w:tcPr>
          <w:p w14:paraId="747B8075">
            <w:pPr>
              <w:jc w:val="center"/>
              <w:rPr>
                <w:color w:val="auto"/>
                <w:szCs w:val="21"/>
              </w:rPr>
            </w:pPr>
            <w:r>
              <w:rPr>
                <w:rFonts w:hint="eastAsia"/>
                <w:color w:val="auto"/>
                <w:szCs w:val="21"/>
              </w:rPr>
              <w:t>/</w:t>
            </w:r>
          </w:p>
        </w:tc>
        <w:tc>
          <w:tcPr>
            <w:tcW w:w="900" w:type="dxa"/>
            <w:tcBorders>
              <w:top w:val="single" w:color="auto" w:sz="8" w:space="0"/>
            </w:tcBorders>
            <w:vAlign w:val="center"/>
          </w:tcPr>
          <w:p w14:paraId="11619C6D">
            <w:pPr>
              <w:jc w:val="center"/>
              <w:rPr>
                <w:color w:val="auto"/>
                <w:szCs w:val="21"/>
              </w:rPr>
            </w:pPr>
            <w:r>
              <w:rPr>
                <w:rFonts w:hint="eastAsia"/>
                <w:color w:val="auto"/>
                <w:szCs w:val="21"/>
              </w:rPr>
              <w:t>/</w:t>
            </w:r>
          </w:p>
        </w:tc>
        <w:tc>
          <w:tcPr>
            <w:tcW w:w="888" w:type="dxa"/>
            <w:tcBorders>
              <w:top w:val="single" w:color="auto" w:sz="8" w:space="0"/>
            </w:tcBorders>
            <w:vAlign w:val="center"/>
          </w:tcPr>
          <w:p w14:paraId="0D102E3C">
            <w:pPr>
              <w:jc w:val="center"/>
              <w:rPr>
                <w:rFonts w:cs="宋体"/>
                <w:color w:val="auto"/>
                <w:szCs w:val="21"/>
              </w:rPr>
            </w:pPr>
            <w:r>
              <w:rPr>
                <w:rFonts w:hint="eastAsia" w:cs="宋体"/>
                <w:color w:val="auto"/>
                <w:szCs w:val="21"/>
              </w:rPr>
              <w:t>1.5</w:t>
            </w:r>
          </w:p>
        </w:tc>
      </w:tr>
      <w:tr w14:paraId="538B5DA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007B87D4">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3E2DD4B3">
            <w:pPr>
              <w:jc w:val="center"/>
              <w:rPr>
                <w:rFonts w:eastAsia="仿宋"/>
                <w:color w:val="auto"/>
                <w:szCs w:val="21"/>
              </w:rPr>
            </w:pPr>
            <w:r>
              <w:rPr>
                <w:rFonts w:hint="eastAsia"/>
                <w:color w:val="auto"/>
                <w:szCs w:val="21"/>
              </w:rPr>
              <w:t>0.5</w:t>
            </w:r>
          </w:p>
        </w:tc>
        <w:tc>
          <w:tcPr>
            <w:tcW w:w="864" w:type="dxa"/>
            <w:vAlign w:val="center"/>
          </w:tcPr>
          <w:p w14:paraId="2ADC6904">
            <w:pPr>
              <w:jc w:val="center"/>
              <w:rPr>
                <w:color w:val="auto"/>
                <w:szCs w:val="21"/>
              </w:rPr>
            </w:pPr>
            <w:r>
              <w:rPr>
                <w:color w:val="auto"/>
                <w:szCs w:val="21"/>
              </w:rPr>
              <w:t>0.467</w:t>
            </w:r>
          </w:p>
        </w:tc>
        <w:tc>
          <w:tcPr>
            <w:tcW w:w="864" w:type="dxa"/>
            <w:vAlign w:val="center"/>
          </w:tcPr>
          <w:p w14:paraId="3EE75EE3">
            <w:pPr>
              <w:jc w:val="center"/>
              <w:rPr>
                <w:color w:val="auto"/>
                <w:szCs w:val="21"/>
              </w:rPr>
            </w:pPr>
            <w:r>
              <w:rPr>
                <w:color w:val="auto"/>
                <w:szCs w:val="21"/>
              </w:rPr>
              <w:t>0.447</w:t>
            </w:r>
          </w:p>
        </w:tc>
        <w:tc>
          <w:tcPr>
            <w:tcW w:w="840" w:type="dxa"/>
            <w:vAlign w:val="center"/>
          </w:tcPr>
          <w:p w14:paraId="0EC89C37">
            <w:pPr>
              <w:jc w:val="center"/>
              <w:rPr>
                <w:color w:val="auto"/>
                <w:szCs w:val="21"/>
              </w:rPr>
            </w:pPr>
            <w:r>
              <w:rPr>
                <w:color w:val="auto"/>
                <w:szCs w:val="21"/>
              </w:rPr>
              <w:t>0.471</w:t>
            </w:r>
          </w:p>
        </w:tc>
        <w:tc>
          <w:tcPr>
            <w:tcW w:w="852" w:type="dxa"/>
            <w:vAlign w:val="center"/>
          </w:tcPr>
          <w:p w14:paraId="3843C26B">
            <w:pPr>
              <w:jc w:val="center"/>
              <w:rPr>
                <w:color w:val="auto"/>
                <w:szCs w:val="21"/>
              </w:rPr>
            </w:pPr>
            <w:r>
              <w:rPr>
                <w:color w:val="auto"/>
                <w:szCs w:val="21"/>
              </w:rPr>
              <w:t>0.4535</w:t>
            </w:r>
          </w:p>
        </w:tc>
        <w:tc>
          <w:tcPr>
            <w:tcW w:w="852" w:type="dxa"/>
            <w:vAlign w:val="center"/>
          </w:tcPr>
          <w:p w14:paraId="0F245729">
            <w:pPr>
              <w:jc w:val="center"/>
              <w:rPr>
                <w:color w:val="auto"/>
                <w:szCs w:val="21"/>
              </w:rPr>
            </w:pPr>
            <w:r>
              <w:rPr>
                <w:rFonts w:hint="eastAsia"/>
                <w:color w:val="auto"/>
                <w:szCs w:val="21"/>
              </w:rPr>
              <w:t>/</w:t>
            </w:r>
          </w:p>
        </w:tc>
        <w:tc>
          <w:tcPr>
            <w:tcW w:w="900" w:type="dxa"/>
            <w:vAlign w:val="center"/>
          </w:tcPr>
          <w:p w14:paraId="2EFAE5D2">
            <w:pPr>
              <w:jc w:val="center"/>
              <w:rPr>
                <w:color w:val="auto"/>
                <w:szCs w:val="21"/>
              </w:rPr>
            </w:pPr>
            <w:r>
              <w:rPr>
                <w:rFonts w:hint="eastAsia"/>
                <w:color w:val="auto"/>
                <w:szCs w:val="21"/>
              </w:rPr>
              <w:t>/</w:t>
            </w:r>
          </w:p>
        </w:tc>
        <w:tc>
          <w:tcPr>
            <w:tcW w:w="888" w:type="dxa"/>
            <w:vAlign w:val="center"/>
          </w:tcPr>
          <w:p w14:paraId="5F4B6426">
            <w:pPr>
              <w:jc w:val="center"/>
              <w:rPr>
                <w:rFonts w:cs="宋体"/>
                <w:color w:val="auto"/>
                <w:szCs w:val="21"/>
              </w:rPr>
            </w:pPr>
            <w:r>
              <w:rPr>
                <w:rFonts w:hint="eastAsia" w:cs="宋体"/>
                <w:color w:val="auto"/>
                <w:szCs w:val="21"/>
              </w:rPr>
              <w:t>1.8</w:t>
            </w:r>
          </w:p>
        </w:tc>
      </w:tr>
      <w:tr w14:paraId="12185C1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40A62507">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2D6A19E7">
            <w:pPr>
              <w:jc w:val="center"/>
              <w:rPr>
                <w:rFonts w:eastAsia="仿宋"/>
                <w:color w:val="auto"/>
                <w:szCs w:val="21"/>
              </w:rPr>
            </w:pPr>
            <w:r>
              <w:rPr>
                <w:rFonts w:hint="eastAsia"/>
                <w:color w:val="auto"/>
                <w:szCs w:val="21"/>
              </w:rPr>
              <w:t>0.75</w:t>
            </w:r>
          </w:p>
        </w:tc>
        <w:tc>
          <w:tcPr>
            <w:tcW w:w="864" w:type="dxa"/>
            <w:vAlign w:val="center"/>
          </w:tcPr>
          <w:p w14:paraId="21C3EA20">
            <w:pPr>
              <w:jc w:val="center"/>
              <w:rPr>
                <w:color w:val="auto"/>
                <w:szCs w:val="21"/>
              </w:rPr>
            </w:pPr>
            <w:r>
              <w:rPr>
                <w:color w:val="auto"/>
                <w:szCs w:val="21"/>
              </w:rPr>
              <w:t>0.685</w:t>
            </w:r>
          </w:p>
        </w:tc>
        <w:tc>
          <w:tcPr>
            <w:tcW w:w="864" w:type="dxa"/>
            <w:vAlign w:val="center"/>
          </w:tcPr>
          <w:p w14:paraId="2E4B0AC1">
            <w:pPr>
              <w:jc w:val="center"/>
              <w:rPr>
                <w:color w:val="auto"/>
                <w:szCs w:val="21"/>
              </w:rPr>
            </w:pPr>
            <w:r>
              <w:rPr>
                <w:color w:val="auto"/>
                <w:szCs w:val="21"/>
              </w:rPr>
              <w:t>0.694</w:t>
            </w:r>
          </w:p>
        </w:tc>
        <w:tc>
          <w:tcPr>
            <w:tcW w:w="840" w:type="dxa"/>
            <w:vAlign w:val="center"/>
          </w:tcPr>
          <w:p w14:paraId="2B39CF49">
            <w:pPr>
              <w:jc w:val="center"/>
              <w:rPr>
                <w:color w:val="auto"/>
                <w:szCs w:val="21"/>
              </w:rPr>
            </w:pPr>
            <w:r>
              <w:rPr>
                <w:color w:val="auto"/>
                <w:szCs w:val="21"/>
              </w:rPr>
              <w:t>0.679</w:t>
            </w:r>
          </w:p>
        </w:tc>
        <w:tc>
          <w:tcPr>
            <w:tcW w:w="852" w:type="dxa"/>
            <w:vAlign w:val="center"/>
          </w:tcPr>
          <w:p w14:paraId="705AC95C">
            <w:pPr>
              <w:jc w:val="center"/>
              <w:rPr>
                <w:color w:val="auto"/>
                <w:szCs w:val="21"/>
              </w:rPr>
            </w:pPr>
            <w:r>
              <w:rPr>
                <w:color w:val="auto"/>
                <w:szCs w:val="21"/>
              </w:rPr>
              <w:t>0.676</w:t>
            </w:r>
          </w:p>
        </w:tc>
        <w:tc>
          <w:tcPr>
            <w:tcW w:w="852" w:type="dxa"/>
            <w:vAlign w:val="center"/>
          </w:tcPr>
          <w:p w14:paraId="07311D60">
            <w:pPr>
              <w:jc w:val="center"/>
              <w:rPr>
                <w:color w:val="auto"/>
                <w:szCs w:val="21"/>
              </w:rPr>
            </w:pPr>
            <w:r>
              <w:rPr>
                <w:rFonts w:hint="eastAsia"/>
                <w:color w:val="auto"/>
                <w:szCs w:val="21"/>
              </w:rPr>
              <w:t>/</w:t>
            </w:r>
          </w:p>
        </w:tc>
        <w:tc>
          <w:tcPr>
            <w:tcW w:w="900" w:type="dxa"/>
            <w:vAlign w:val="center"/>
          </w:tcPr>
          <w:p w14:paraId="0D8FF568">
            <w:pPr>
              <w:jc w:val="center"/>
              <w:rPr>
                <w:color w:val="auto"/>
                <w:szCs w:val="21"/>
              </w:rPr>
            </w:pPr>
            <w:r>
              <w:rPr>
                <w:rFonts w:hint="eastAsia"/>
                <w:color w:val="auto"/>
                <w:szCs w:val="21"/>
              </w:rPr>
              <w:t>/</w:t>
            </w:r>
          </w:p>
        </w:tc>
        <w:tc>
          <w:tcPr>
            <w:tcW w:w="888" w:type="dxa"/>
            <w:vAlign w:val="center"/>
          </w:tcPr>
          <w:p w14:paraId="332F700E">
            <w:pPr>
              <w:jc w:val="center"/>
              <w:rPr>
                <w:rFonts w:cs="宋体"/>
                <w:color w:val="auto"/>
                <w:szCs w:val="21"/>
              </w:rPr>
            </w:pPr>
            <w:r>
              <w:rPr>
                <w:rFonts w:hint="eastAsia" w:cs="宋体"/>
                <w:color w:val="auto"/>
                <w:szCs w:val="21"/>
              </w:rPr>
              <w:t>1.0</w:t>
            </w:r>
          </w:p>
        </w:tc>
      </w:tr>
      <w:tr w14:paraId="2B9B4C6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restart"/>
            <w:vAlign w:val="center"/>
          </w:tcPr>
          <w:p w14:paraId="79D80F40">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宿迁疾控</w:t>
            </w:r>
          </w:p>
        </w:tc>
        <w:tc>
          <w:tcPr>
            <w:tcW w:w="1116" w:type="dxa"/>
            <w:vAlign w:val="center"/>
          </w:tcPr>
          <w:p w14:paraId="4688DA0C">
            <w:pPr>
              <w:jc w:val="center"/>
              <w:rPr>
                <w:color w:val="auto"/>
                <w:szCs w:val="21"/>
              </w:rPr>
            </w:pPr>
            <w:r>
              <w:rPr>
                <w:rFonts w:hint="eastAsia"/>
                <w:color w:val="auto"/>
                <w:szCs w:val="21"/>
              </w:rPr>
              <w:t>0.1</w:t>
            </w:r>
          </w:p>
        </w:tc>
        <w:tc>
          <w:tcPr>
            <w:tcW w:w="864" w:type="dxa"/>
            <w:vAlign w:val="center"/>
          </w:tcPr>
          <w:p w14:paraId="5D23CC6F">
            <w:pPr>
              <w:jc w:val="center"/>
              <w:rPr>
                <w:color w:val="auto"/>
                <w:szCs w:val="21"/>
              </w:rPr>
            </w:pPr>
            <w:r>
              <w:rPr>
                <w:rFonts w:hint="eastAsia"/>
                <w:color w:val="auto"/>
                <w:szCs w:val="21"/>
              </w:rPr>
              <w:t>0.093</w:t>
            </w:r>
          </w:p>
        </w:tc>
        <w:tc>
          <w:tcPr>
            <w:tcW w:w="864" w:type="dxa"/>
            <w:vAlign w:val="center"/>
          </w:tcPr>
          <w:p w14:paraId="410CED33">
            <w:pPr>
              <w:jc w:val="center"/>
              <w:rPr>
                <w:color w:val="auto"/>
                <w:szCs w:val="21"/>
              </w:rPr>
            </w:pPr>
            <w:r>
              <w:rPr>
                <w:rFonts w:hint="eastAsia"/>
                <w:color w:val="auto"/>
                <w:szCs w:val="21"/>
              </w:rPr>
              <w:t>0.101</w:t>
            </w:r>
          </w:p>
        </w:tc>
        <w:tc>
          <w:tcPr>
            <w:tcW w:w="840" w:type="dxa"/>
            <w:vAlign w:val="center"/>
          </w:tcPr>
          <w:p w14:paraId="37B20B2B">
            <w:pPr>
              <w:jc w:val="center"/>
              <w:rPr>
                <w:color w:val="auto"/>
                <w:szCs w:val="21"/>
              </w:rPr>
            </w:pPr>
            <w:r>
              <w:rPr>
                <w:rFonts w:hint="eastAsia"/>
                <w:color w:val="auto"/>
                <w:szCs w:val="21"/>
              </w:rPr>
              <w:t>0.101</w:t>
            </w:r>
          </w:p>
        </w:tc>
        <w:tc>
          <w:tcPr>
            <w:tcW w:w="852" w:type="dxa"/>
            <w:vAlign w:val="center"/>
          </w:tcPr>
          <w:p w14:paraId="386F52D5">
            <w:pPr>
              <w:jc w:val="center"/>
              <w:rPr>
                <w:color w:val="auto"/>
                <w:szCs w:val="21"/>
              </w:rPr>
            </w:pPr>
            <w:r>
              <w:rPr>
                <w:rFonts w:hint="eastAsia"/>
                <w:color w:val="auto"/>
                <w:szCs w:val="21"/>
              </w:rPr>
              <w:t>0.091</w:t>
            </w:r>
          </w:p>
        </w:tc>
        <w:tc>
          <w:tcPr>
            <w:tcW w:w="852" w:type="dxa"/>
            <w:vAlign w:val="center"/>
          </w:tcPr>
          <w:p w14:paraId="60726A8E">
            <w:pPr>
              <w:jc w:val="center"/>
              <w:rPr>
                <w:color w:val="auto"/>
                <w:szCs w:val="21"/>
              </w:rPr>
            </w:pPr>
            <w:r>
              <w:rPr>
                <w:rFonts w:hint="eastAsia"/>
                <w:color w:val="auto"/>
                <w:szCs w:val="21"/>
              </w:rPr>
              <w:t>0.102</w:t>
            </w:r>
          </w:p>
        </w:tc>
        <w:tc>
          <w:tcPr>
            <w:tcW w:w="900" w:type="dxa"/>
            <w:vAlign w:val="center"/>
          </w:tcPr>
          <w:p w14:paraId="36430D7F">
            <w:pPr>
              <w:jc w:val="center"/>
              <w:rPr>
                <w:color w:val="auto"/>
                <w:szCs w:val="21"/>
              </w:rPr>
            </w:pPr>
            <w:r>
              <w:rPr>
                <w:rFonts w:hint="eastAsia"/>
                <w:color w:val="auto"/>
                <w:szCs w:val="21"/>
              </w:rPr>
              <w:t>0.094</w:t>
            </w:r>
          </w:p>
        </w:tc>
        <w:tc>
          <w:tcPr>
            <w:tcW w:w="888" w:type="dxa"/>
            <w:vAlign w:val="center"/>
          </w:tcPr>
          <w:p w14:paraId="28DB94F7">
            <w:pPr>
              <w:jc w:val="center"/>
              <w:rPr>
                <w:color w:val="auto"/>
                <w:szCs w:val="21"/>
              </w:rPr>
            </w:pPr>
            <w:r>
              <w:rPr>
                <w:rFonts w:hint="eastAsia"/>
                <w:color w:val="auto"/>
                <w:szCs w:val="21"/>
              </w:rPr>
              <w:t>4.6</w:t>
            </w:r>
          </w:p>
        </w:tc>
      </w:tr>
      <w:tr w14:paraId="5ACB266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045BF723">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3BFA97BA">
            <w:pPr>
              <w:jc w:val="center"/>
              <w:rPr>
                <w:color w:val="auto"/>
                <w:szCs w:val="21"/>
              </w:rPr>
            </w:pPr>
            <w:r>
              <w:rPr>
                <w:rFonts w:hint="eastAsia"/>
                <w:color w:val="auto"/>
                <w:szCs w:val="21"/>
              </w:rPr>
              <w:t>0.5</w:t>
            </w:r>
          </w:p>
        </w:tc>
        <w:tc>
          <w:tcPr>
            <w:tcW w:w="864" w:type="dxa"/>
            <w:vAlign w:val="center"/>
          </w:tcPr>
          <w:p w14:paraId="1754D33F">
            <w:pPr>
              <w:jc w:val="center"/>
              <w:rPr>
                <w:color w:val="auto"/>
                <w:szCs w:val="21"/>
              </w:rPr>
            </w:pPr>
            <w:r>
              <w:rPr>
                <w:rFonts w:hint="eastAsia"/>
                <w:color w:val="auto"/>
                <w:szCs w:val="21"/>
              </w:rPr>
              <w:t>0.478</w:t>
            </w:r>
          </w:p>
        </w:tc>
        <w:tc>
          <w:tcPr>
            <w:tcW w:w="864" w:type="dxa"/>
            <w:vAlign w:val="center"/>
          </w:tcPr>
          <w:p w14:paraId="23636320">
            <w:pPr>
              <w:jc w:val="center"/>
              <w:rPr>
                <w:color w:val="auto"/>
                <w:szCs w:val="21"/>
              </w:rPr>
            </w:pPr>
            <w:r>
              <w:rPr>
                <w:rFonts w:hint="eastAsia"/>
                <w:color w:val="auto"/>
                <w:szCs w:val="21"/>
              </w:rPr>
              <w:t>0.458</w:t>
            </w:r>
          </w:p>
        </w:tc>
        <w:tc>
          <w:tcPr>
            <w:tcW w:w="840" w:type="dxa"/>
            <w:vAlign w:val="center"/>
          </w:tcPr>
          <w:p w14:paraId="0F3E4983">
            <w:pPr>
              <w:jc w:val="center"/>
              <w:rPr>
                <w:color w:val="auto"/>
                <w:szCs w:val="21"/>
              </w:rPr>
            </w:pPr>
            <w:r>
              <w:rPr>
                <w:rFonts w:hint="eastAsia"/>
                <w:color w:val="auto"/>
                <w:szCs w:val="21"/>
              </w:rPr>
              <w:t>0.508</w:t>
            </w:r>
          </w:p>
        </w:tc>
        <w:tc>
          <w:tcPr>
            <w:tcW w:w="852" w:type="dxa"/>
            <w:vAlign w:val="center"/>
          </w:tcPr>
          <w:p w14:paraId="7929093E">
            <w:pPr>
              <w:jc w:val="center"/>
              <w:rPr>
                <w:color w:val="auto"/>
                <w:szCs w:val="21"/>
              </w:rPr>
            </w:pPr>
            <w:r>
              <w:rPr>
                <w:rFonts w:hint="eastAsia"/>
                <w:color w:val="auto"/>
                <w:szCs w:val="21"/>
              </w:rPr>
              <w:t>0.505</w:t>
            </w:r>
          </w:p>
        </w:tc>
        <w:tc>
          <w:tcPr>
            <w:tcW w:w="852" w:type="dxa"/>
            <w:vAlign w:val="center"/>
          </w:tcPr>
          <w:p w14:paraId="6B9DBE39">
            <w:pPr>
              <w:jc w:val="center"/>
              <w:rPr>
                <w:color w:val="auto"/>
                <w:szCs w:val="21"/>
              </w:rPr>
            </w:pPr>
            <w:r>
              <w:rPr>
                <w:rFonts w:hint="eastAsia"/>
                <w:color w:val="auto"/>
                <w:szCs w:val="21"/>
              </w:rPr>
              <w:t>0.490</w:t>
            </w:r>
          </w:p>
        </w:tc>
        <w:tc>
          <w:tcPr>
            <w:tcW w:w="900" w:type="dxa"/>
            <w:vAlign w:val="center"/>
          </w:tcPr>
          <w:p w14:paraId="5A16448C">
            <w:pPr>
              <w:jc w:val="center"/>
              <w:rPr>
                <w:color w:val="auto"/>
                <w:szCs w:val="21"/>
              </w:rPr>
            </w:pPr>
            <w:r>
              <w:rPr>
                <w:rFonts w:hint="eastAsia"/>
                <w:color w:val="auto"/>
                <w:szCs w:val="21"/>
              </w:rPr>
              <w:t>0.530</w:t>
            </w:r>
          </w:p>
        </w:tc>
        <w:tc>
          <w:tcPr>
            <w:tcW w:w="888" w:type="dxa"/>
            <w:vAlign w:val="center"/>
          </w:tcPr>
          <w:p w14:paraId="30408DC9">
            <w:pPr>
              <w:jc w:val="center"/>
              <w:rPr>
                <w:color w:val="auto"/>
                <w:szCs w:val="21"/>
              </w:rPr>
            </w:pPr>
            <w:r>
              <w:rPr>
                <w:rFonts w:hint="eastAsia"/>
                <w:color w:val="auto"/>
                <w:szCs w:val="21"/>
              </w:rPr>
              <w:t>4.6</w:t>
            </w:r>
          </w:p>
        </w:tc>
      </w:tr>
      <w:tr w14:paraId="01C7217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035CAC53">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0432B021">
            <w:pPr>
              <w:jc w:val="center"/>
              <w:rPr>
                <w:color w:val="auto"/>
                <w:szCs w:val="21"/>
              </w:rPr>
            </w:pPr>
            <w:r>
              <w:rPr>
                <w:rFonts w:hint="eastAsia"/>
                <w:color w:val="auto"/>
                <w:szCs w:val="21"/>
              </w:rPr>
              <w:t>0.75</w:t>
            </w:r>
          </w:p>
        </w:tc>
        <w:tc>
          <w:tcPr>
            <w:tcW w:w="864" w:type="dxa"/>
            <w:vAlign w:val="center"/>
          </w:tcPr>
          <w:p w14:paraId="63620FDA">
            <w:pPr>
              <w:jc w:val="center"/>
              <w:rPr>
                <w:color w:val="auto"/>
                <w:szCs w:val="21"/>
              </w:rPr>
            </w:pPr>
            <w:r>
              <w:rPr>
                <w:rFonts w:hint="eastAsia"/>
                <w:color w:val="auto"/>
                <w:szCs w:val="21"/>
              </w:rPr>
              <w:t>0.753</w:t>
            </w:r>
          </w:p>
        </w:tc>
        <w:tc>
          <w:tcPr>
            <w:tcW w:w="864" w:type="dxa"/>
            <w:vAlign w:val="center"/>
          </w:tcPr>
          <w:p w14:paraId="591D5C7C">
            <w:pPr>
              <w:jc w:val="center"/>
              <w:rPr>
                <w:color w:val="auto"/>
                <w:szCs w:val="21"/>
              </w:rPr>
            </w:pPr>
            <w:r>
              <w:rPr>
                <w:rFonts w:hint="eastAsia"/>
                <w:color w:val="auto"/>
                <w:szCs w:val="21"/>
              </w:rPr>
              <w:t>0.710</w:t>
            </w:r>
          </w:p>
        </w:tc>
        <w:tc>
          <w:tcPr>
            <w:tcW w:w="840" w:type="dxa"/>
            <w:vAlign w:val="center"/>
          </w:tcPr>
          <w:p w14:paraId="17D8981D">
            <w:pPr>
              <w:jc w:val="center"/>
              <w:rPr>
                <w:color w:val="auto"/>
                <w:szCs w:val="21"/>
              </w:rPr>
            </w:pPr>
            <w:r>
              <w:rPr>
                <w:rFonts w:hint="eastAsia"/>
                <w:color w:val="auto"/>
                <w:szCs w:val="21"/>
              </w:rPr>
              <w:t>0.691</w:t>
            </w:r>
          </w:p>
        </w:tc>
        <w:tc>
          <w:tcPr>
            <w:tcW w:w="852" w:type="dxa"/>
            <w:vAlign w:val="center"/>
          </w:tcPr>
          <w:p w14:paraId="3E79B791">
            <w:pPr>
              <w:jc w:val="center"/>
              <w:rPr>
                <w:color w:val="auto"/>
                <w:szCs w:val="21"/>
              </w:rPr>
            </w:pPr>
            <w:r>
              <w:rPr>
                <w:rFonts w:hint="eastAsia"/>
                <w:color w:val="auto"/>
                <w:szCs w:val="21"/>
              </w:rPr>
              <w:t>0.707</w:t>
            </w:r>
          </w:p>
        </w:tc>
        <w:tc>
          <w:tcPr>
            <w:tcW w:w="852" w:type="dxa"/>
            <w:vAlign w:val="center"/>
          </w:tcPr>
          <w:p w14:paraId="7732A20C">
            <w:pPr>
              <w:jc w:val="center"/>
              <w:rPr>
                <w:color w:val="auto"/>
                <w:szCs w:val="21"/>
              </w:rPr>
            </w:pPr>
            <w:r>
              <w:rPr>
                <w:rFonts w:hint="eastAsia"/>
                <w:color w:val="auto"/>
                <w:szCs w:val="21"/>
              </w:rPr>
              <w:t>0.750</w:t>
            </w:r>
          </w:p>
        </w:tc>
        <w:tc>
          <w:tcPr>
            <w:tcW w:w="900" w:type="dxa"/>
            <w:vAlign w:val="center"/>
          </w:tcPr>
          <w:p w14:paraId="678055DB">
            <w:pPr>
              <w:jc w:val="center"/>
              <w:rPr>
                <w:color w:val="auto"/>
                <w:szCs w:val="21"/>
              </w:rPr>
            </w:pPr>
            <w:r>
              <w:rPr>
                <w:rFonts w:hint="eastAsia"/>
                <w:color w:val="auto"/>
                <w:szCs w:val="21"/>
              </w:rPr>
              <w:t>0.736</w:t>
            </w:r>
          </w:p>
        </w:tc>
        <w:tc>
          <w:tcPr>
            <w:tcW w:w="888" w:type="dxa"/>
            <w:vAlign w:val="center"/>
          </w:tcPr>
          <w:p w14:paraId="4A5EEB58">
            <w:pPr>
              <w:jc w:val="center"/>
              <w:rPr>
                <w:color w:val="auto"/>
                <w:szCs w:val="21"/>
              </w:rPr>
            </w:pPr>
            <w:r>
              <w:rPr>
                <w:rFonts w:hint="eastAsia"/>
                <w:color w:val="auto"/>
                <w:szCs w:val="21"/>
              </w:rPr>
              <w:t>3.2</w:t>
            </w:r>
          </w:p>
        </w:tc>
      </w:tr>
      <w:tr w14:paraId="54F3092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restart"/>
            <w:vAlign w:val="center"/>
          </w:tcPr>
          <w:p w14:paraId="5E3C1D68">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昆山疾控</w:t>
            </w:r>
          </w:p>
        </w:tc>
        <w:tc>
          <w:tcPr>
            <w:tcW w:w="1116" w:type="dxa"/>
            <w:vAlign w:val="center"/>
          </w:tcPr>
          <w:p w14:paraId="56608584">
            <w:pPr>
              <w:jc w:val="center"/>
              <w:rPr>
                <w:color w:val="auto"/>
                <w:szCs w:val="21"/>
              </w:rPr>
            </w:pPr>
            <w:r>
              <w:rPr>
                <w:rFonts w:hint="eastAsia"/>
                <w:color w:val="auto"/>
                <w:szCs w:val="21"/>
              </w:rPr>
              <w:t>0.1</w:t>
            </w:r>
          </w:p>
        </w:tc>
        <w:tc>
          <w:tcPr>
            <w:tcW w:w="864" w:type="dxa"/>
            <w:vAlign w:val="center"/>
          </w:tcPr>
          <w:p w14:paraId="3FB56962">
            <w:pPr>
              <w:jc w:val="center"/>
              <w:rPr>
                <w:color w:val="auto"/>
                <w:szCs w:val="21"/>
              </w:rPr>
            </w:pPr>
            <w:r>
              <w:rPr>
                <w:rFonts w:hint="eastAsia"/>
                <w:color w:val="auto"/>
                <w:szCs w:val="21"/>
              </w:rPr>
              <w:t>0.0926</w:t>
            </w:r>
          </w:p>
        </w:tc>
        <w:tc>
          <w:tcPr>
            <w:tcW w:w="864" w:type="dxa"/>
            <w:vAlign w:val="center"/>
          </w:tcPr>
          <w:p w14:paraId="15605B16">
            <w:pPr>
              <w:jc w:val="center"/>
              <w:rPr>
                <w:color w:val="auto"/>
                <w:szCs w:val="21"/>
              </w:rPr>
            </w:pPr>
            <w:r>
              <w:rPr>
                <w:rFonts w:hint="eastAsia"/>
                <w:color w:val="auto"/>
                <w:szCs w:val="21"/>
              </w:rPr>
              <w:t>0.0957</w:t>
            </w:r>
          </w:p>
        </w:tc>
        <w:tc>
          <w:tcPr>
            <w:tcW w:w="840" w:type="dxa"/>
            <w:vAlign w:val="center"/>
          </w:tcPr>
          <w:p w14:paraId="59520F34">
            <w:pPr>
              <w:jc w:val="center"/>
              <w:rPr>
                <w:color w:val="auto"/>
                <w:szCs w:val="21"/>
              </w:rPr>
            </w:pPr>
            <w:r>
              <w:rPr>
                <w:rFonts w:hint="eastAsia"/>
                <w:color w:val="auto"/>
                <w:szCs w:val="21"/>
              </w:rPr>
              <w:t>0.0942</w:t>
            </w:r>
          </w:p>
        </w:tc>
        <w:tc>
          <w:tcPr>
            <w:tcW w:w="852" w:type="dxa"/>
            <w:vAlign w:val="center"/>
          </w:tcPr>
          <w:p w14:paraId="46A9F7BB">
            <w:pPr>
              <w:jc w:val="center"/>
              <w:rPr>
                <w:color w:val="auto"/>
                <w:szCs w:val="21"/>
              </w:rPr>
            </w:pPr>
            <w:r>
              <w:rPr>
                <w:rFonts w:hint="eastAsia"/>
                <w:color w:val="auto"/>
                <w:szCs w:val="21"/>
              </w:rPr>
              <w:t>0.0891</w:t>
            </w:r>
          </w:p>
        </w:tc>
        <w:tc>
          <w:tcPr>
            <w:tcW w:w="852" w:type="dxa"/>
            <w:vAlign w:val="center"/>
          </w:tcPr>
          <w:p w14:paraId="32D9B337">
            <w:pPr>
              <w:jc w:val="center"/>
              <w:rPr>
                <w:color w:val="auto"/>
                <w:szCs w:val="21"/>
              </w:rPr>
            </w:pPr>
            <w:r>
              <w:rPr>
                <w:rFonts w:hint="eastAsia"/>
                <w:color w:val="auto"/>
                <w:szCs w:val="21"/>
              </w:rPr>
              <w:t>/</w:t>
            </w:r>
          </w:p>
        </w:tc>
        <w:tc>
          <w:tcPr>
            <w:tcW w:w="900" w:type="dxa"/>
            <w:vAlign w:val="center"/>
          </w:tcPr>
          <w:p w14:paraId="5BC51527">
            <w:pPr>
              <w:jc w:val="center"/>
              <w:rPr>
                <w:color w:val="auto"/>
                <w:szCs w:val="21"/>
              </w:rPr>
            </w:pPr>
            <w:r>
              <w:rPr>
                <w:rFonts w:hint="eastAsia"/>
                <w:color w:val="auto"/>
                <w:szCs w:val="21"/>
              </w:rPr>
              <w:t>/</w:t>
            </w:r>
          </w:p>
        </w:tc>
        <w:tc>
          <w:tcPr>
            <w:tcW w:w="888" w:type="dxa"/>
            <w:vAlign w:val="center"/>
          </w:tcPr>
          <w:p w14:paraId="03C24E7B">
            <w:pPr>
              <w:jc w:val="center"/>
              <w:rPr>
                <w:color w:val="auto"/>
                <w:szCs w:val="21"/>
              </w:rPr>
            </w:pPr>
            <w:r>
              <w:rPr>
                <w:rFonts w:hint="eastAsia"/>
                <w:color w:val="auto"/>
                <w:szCs w:val="21"/>
              </w:rPr>
              <w:t>1.6</w:t>
            </w:r>
          </w:p>
        </w:tc>
      </w:tr>
      <w:tr w14:paraId="31C4105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0413B40E">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3FF39FD1">
            <w:pPr>
              <w:jc w:val="center"/>
              <w:rPr>
                <w:color w:val="auto"/>
                <w:szCs w:val="21"/>
              </w:rPr>
            </w:pPr>
            <w:r>
              <w:rPr>
                <w:rFonts w:hint="eastAsia"/>
                <w:color w:val="auto"/>
                <w:szCs w:val="21"/>
              </w:rPr>
              <w:t>0.5</w:t>
            </w:r>
          </w:p>
        </w:tc>
        <w:tc>
          <w:tcPr>
            <w:tcW w:w="864" w:type="dxa"/>
            <w:vAlign w:val="center"/>
          </w:tcPr>
          <w:p w14:paraId="14AB4A03">
            <w:pPr>
              <w:jc w:val="center"/>
              <w:rPr>
                <w:color w:val="auto"/>
                <w:szCs w:val="21"/>
              </w:rPr>
            </w:pPr>
            <w:r>
              <w:rPr>
                <w:rFonts w:hint="eastAsia"/>
                <w:color w:val="auto"/>
                <w:szCs w:val="21"/>
              </w:rPr>
              <w:t>0.448</w:t>
            </w:r>
          </w:p>
        </w:tc>
        <w:tc>
          <w:tcPr>
            <w:tcW w:w="864" w:type="dxa"/>
            <w:vAlign w:val="center"/>
          </w:tcPr>
          <w:p w14:paraId="30B05459">
            <w:pPr>
              <w:jc w:val="center"/>
              <w:rPr>
                <w:color w:val="auto"/>
                <w:szCs w:val="21"/>
              </w:rPr>
            </w:pPr>
            <w:r>
              <w:rPr>
                <w:rFonts w:hint="eastAsia"/>
                <w:color w:val="auto"/>
                <w:szCs w:val="21"/>
              </w:rPr>
              <w:t>0.417</w:t>
            </w:r>
          </w:p>
        </w:tc>
        <w:tc>
          <w:tcPr>
            <w:tcW w:w="840" w:type="dxa"/>
            <w:vAlign w:val="center"/>
          </w:tcPr>
          <w:p w14:paraId="198AAB50">
            <w:pPr>
              <w:jc w:val="center"/>
              <w:rPr>
                <w:color w:val="auto"/>
                <w:szCs w:val="21"/>
              </w:rPr>
            </w:pPr>
            <w:r>
              <w:rPr>
                <w:rFonts w:hint="eastAsia"/>
                <w:color w:val="auto"/>
                <w:szCs w:val="21"/>
              </w:rPr>
              <w:t>0.476</w:t>
            </w:r>
          </w:p>
        </w:tc>
        <w:tc>
          <w:tcPr>
            <w:tcW w:w="852" w:type="dxa"/>
            <w:vAlign w:val="center"/>
          </w:tcPr>
          <w:p w14:paraId="2CE3F1C1">
            <w:pPr>
              <w:jc w:val="center"/>
              <w:rPr>
                <w:color w:val="auto"/>
                <w:szCs w:val="21"/>
              </w:rPr>
            </w:pPr>
            <w:r>
              <w:rPr>
                <w:rFonts w:hint="eastAsia"/>
                <w:color w:val="auto"/>
                <w:szCs w:val="21"/>
              </w:rPr>
              <w:t>0.436</w:t>
            </w:r>
          </w:p>
        </w:tc>
        <w:tc>
          <w:tcPr>
            <w:tcW w:w="852" w:type="dxa"/>
            <w:vAlign w:val="center"/>
          </w:tcPr>
          <w:p w14:paraId="62631092">
            <w:pPr>
              <w:jc w:val="center"/>
              <w:rPr>
                <w:color w:val="auto"/>
                <w:szCs w:val="21"/>
              </w:rPr>
            </w:pPr>
            <w:r>
              <w:rPr>
                <w:rFonts w:hint="eastAsia"/>
                <w:color w:val="auto"/>
                <w:szCs w:val="21"/>
              </w:rPr>
              <w:t>/</w:t>
            </w:r>
          </w:p>
        </w:tc>
        <w:tc>
          <w:tcPr>
            <w:tcW w:w="900" w:type="dxa"/>
            <w:vAlign w:val="center"/>
          </w:tcPr>
          <w:p w14:paraId="26411787">
            <w:pPr>
              <w:jc w:val="center"/>
              <w:rPr>
                <w:color w:val="auto"/>
                <w:szCs w:val="21"/>
              </w:rPr>
            </w:pPr>
            <w:r>
              <w:rPr>
                <w:rFonts w:hint="eastAsia"/>
                <w:color w:val="auto"/>
                <w:szCs w:val="21"/>
              </w:rPr>
              <w:t>/</w:t>
            </w:r>
          </w:p>
        </w:tc>
        <w:tc>
          <w:tcPr>
            <w:tcW w:w="888" w:type="dxa"/>
            <w:vAlign w:val="center"/>
          </w:tcPr>
          <w:p w14:paraId="5726DB21">
            <w:pPr>
              <w:jc w:val="center"/>
              <w:rPr>
                <w:color w:val="auto"/>
                <w:szCs w:val="21"/>
              </w:rPr>
            </w:pPr>
            <w:r>
              <w:rPr>
                <w:rFonts w:hint="eastAsia"/>
                <w:color w:val="auto"/>
                <w:szCs w:val="21"/>
              </w:rPr>
              <w:t>2.9</w:t>
            </w:r>
          </w:p>
        </w:tc>
      </w:tr>
      <w:tr w14:paraId="31C572E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4979911A">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62058B7E">
            <w:pPr>
              <w:jc w:val="center"/>
              <w:rPr>
                <w:color w:val="auto"/>
                <w:szCs w:val="21"/>
              </w:rPr>
            </w:pPr>
            <w:r>
              <w:rPr>
                <w:rFonts w:hint="eastAsia"/>
                <w:color w:val="auto"/>
                <w:szCs w:val="21"/>
              </w:rPr>
              <w:t>0.75</w:t>
            </w:r>
          </w:p>
        </w:tc>
        <w:tc>
          <w:tcPr>
            <w:tcW w:w="864" w:type="dxa"/>
            <w:vAlign w:val="center"/>
          </w:tcPr>
          <w:p w14:paraId="09A2533D">
            <w:pPr>
              <w:jc w:val="center"/>
              <w:rPr>
                <w:color w:val="auto"/>
                <w:szCs w:val="21"/>
              </w:rPr>
            </w:pPr>
            <w:r>
              <w:rPr>
                <w:rFonts w:hint="eastAsia"/>
                <w:color w:val="auto"/>
                <w:szCs w:val="21"/>
              </w:rPr>
              <w:t>0.695</w:t>
            </w:r>
          </w:p>
        </w:tc>
        <w:tc>
          <w:tcPr>
            <w:tcW w:w="864" w:type="dxa"/>
            <w:vAlign w:val="center"/>
          </w:tcPr>
          <w:p w14:paraId="6471C69E">
            <w:pPr>
              <w:jc w:val="center"/>
              <w:rPr>
                <w:color w:val="auto"/>
                <w:szCs w:val="21"/>
              </w:rPr>
            </w:pPr>
            <w:r>
              <w:rPr>
                <w:rFonts w:hint="eastAsia"/>
                <w:color w:val="auto"/>
                <w:szCs w:val="21"/>
              </w:rPr>
              <w:t>0.702</w:t>
            </w:r>
          </w:p>
        </w:tc>
        <w:tc>
          <w:tcPr>
            <w:tcW w:w="840" w:type="dxa"/>
            <w:vAlign w:val="center"/>
          </w:tcPr>
          <w:p w14:paraId="6D948594">
            <w:pPr>
              <w:jc w:val="center"/>
              <w:rPr>
                <w:color w:val="auto"/>
                <w:szCs w:val="21"/>
              </w:rPr>
            </w:pPr>
            <w:r>
              <w:rPr>
                <w:rFonts w:hint="eastAsia"/>
                <w:color w:val="auto"/>
                <w:szCs w:val="21"/>
              </w:rPr>
              <w:t>0.694</w:t>
            </w:r>
          </w:p>
        </w:tc>
        <w:tc>
          <w:tcPr>
            <w:tcW w:w="852" w:type="dxa"/>
            <w:vAlign w:val="center"/>
          </w:tcPr>
          <w:p w14:paraId="28B43D70">
            <w:pPr>
              <w:jc w:val="center"/>
              <w:rPr>
                <w:color w:val="auto"/>
                <w:szCs w:val="21"/>
              </w:rPr>
            </w:pPr>
            <w:r>
              <w:rPr>
                <w:rFonts w:hint="eastAsia"/>
                <w:color w:val="auto"/>
                <w:szCs w:val="21"/>
              </w:rPr>
              <w:t>0.661</w:t>
            </w:r>
          </w:p>
        </w:tc>
        <w:tc>
          <w:tcPr>
            <w:tcW w:w="852" w:type="dxa"/>
            <w:vAlign w:val="center"/>
          </w:tcPr>
          <w:p w14:paraId="04BE733A">
            <w:pPr>
              <w:jc w:val="center"/>
              <w:rPr>
                <w:color w:val="auto"/>
                <w:szCs w:val="21"/>
              </w:rPr>
            </w:pPr>
            <w:r>
              <w:rPr>
                <w:rFonts w:hint="eastAsia"/>
                <w:color w:val="auto"/>
                <w:szCs w:val="21"/>
              </w:rPr>
              <w:t>/</w:t>
            </w:r>
          </w:p>
        </w:tc>
        <w:tc>
          <w:tcPr>
            <w:tcW w:w="900" w:type="dxa"/>
            <w:vAlign w:val="center"/>
          </w:tcPr>
          <w:p w14:paraId="01B9CBAA">
            <w:pPr>
              <w:jc w:val="center"/>
              <w:rPr>
                <w:color w:val="auto"/>
                <w:szCs w:val="21"/>
              </w:rPr>
            </w:pPr>
            <w:r>
              <w:rPr>
                <w:rFonts w:hint="eastAsia"/>
                <w:color w:val="auto"/>
                <w:szCs w:val="21"/>
              </w:rPr>
              <w:t>/</w:t>
            </w:r>
          </w:p>
        </w:tc>
        <w:tc>
          <w:tcPr>
            <w:tcW w:w="888" w:type="dxa"/>
            <w:vAlign w:val="center"/>
          </w:tcPr>
          <w:p w14:paraId="384104B8">
            <w:pPr>
              <w:jc w:val="center"/>
              <w:rPr>
                <w:color w:val="auto"/>
                <w:szCs w:val="21"/>
              </w:rPr>
            </w:pPr>
            <w:r>
              <w:rPr>
                <w:rFonts w:hint="eastAsia"/>
                <w:color w:val="auto"/>
                <w:szCs w:val="21"/>
              </w:rPr>
              <w:t>1.9</w:t>
            </w:r>
          </w:p>
        </w:tc>
      </w:tr>
    </w:tbl>
    <w:p w14:paraId="7785FD1C">
      <w:pPr>
        <w:pStyle w:val="19"/>
        <w:spacing w:line="460" w:lineRule="exact"/>
        <w:ind w:firstLine="420" w:firstLineChars="200"/>
        <w:jc w:val="center"/>
        <w:rPr>
          <w:rFonts w:ascii="Times New Roman" w:hAnsi="Times New Roman" w:eastAsia="仿宋" w:cs="Times New Roman"/>
          <w:color w:val="auto"/>
          <w:kern w:val="2"/>
          <w:sz w:val="21"/>
          <w:szCs w:val="21"/>
        </w:rPr>
      </w:pPr>
    </w:p>
    <w:p w14:paraId="43321E52">
      <w:pPr>
        <w:pStyle w:val="19"/>
        <w:spacing w:line="460" w:lineRule="exact"/>
        <w:ind w:firstLine="420" w:firstLineChars="200"/>
        <w:jc w:val="center"/>
        <w:rPr>
          <w:rFonts w:ascii="Times New Roman" w:hAnsi="Times New Roman" w:eastAsia="仿宋" w:cs="Times New Roman"/>
          <w:color w:val="auto"/>
          <w:kern w:val="2"/>
          <w:sz w:val="28"/>
          <w:szCs w:val="28"/>
        </w:rPr>
      </w:pPr>
      <w:r>
        <w:rPr>
          <w:rFonts w:hint="eastAsia" w:ascii="Times New Roman" w:hAnsi="Times New Roman" w:eastAsia="仿宋" w:cs="Times New Roman"/>
          <w:color w:val="auto"/>
          <w:kern w:val="2"/>
          <w:sz w:val="21"/>
          <w:szCs w:val="21"/>
        </w:rPr>
        <w:t>表1</w:t>
      </w:r>
      <w:r>
        <w:rPr>
          <w:rFonts w:hint="eastAsia" w:ascii="Times New Roman" w:hAnsi="Times New Roman" w:eastAsia="仿宋" w:cs="Times New Roman"/>
          <w:color w:val="auto"/>
          <w:kern w:val="2"/>
          <w:sz w:val="21"/>
          <w:szCs w:val="21"/>
          <w:lang w:val="en-US" w:eastAsia="zh-CN"/>
        </w:rPr>
        <w:t>6</w:t>
      </w:r>
      <w:r>
        <w:rPr>
          <w:rFonts w:ascii="Times New Roman" w:hAnsi="Times New Roman" w:eastAsia="仿宋" w:cs="Times New Roman"/>
          <w:color w:val="auto"/>
          <w:kern w:val="2"/>
          <w:sz w:val="21"/>
          <w:szCs w:val="21"/>
        </w:rPr>
        <w:t xml:space="preserve"> </w:t>
      </w:r>
      <w:r>
        <w:rPr>
          <w:rFonts w:hint="eastAsia" w:ascii="Times New Roman" w:hAnsi="Times New Roman" w:eastAsia="仿宋" w:cs="Times New Roman"/>
          <w:color w:val="auto"/>
          <w:kern w:val="2"/>
          <w:sz w:val="21"/>
          <w:szCs w:val="21"/>
        </w:rPr>
        <w:t>三家验证单位回收率验证结果</w:t>
      </w:r>
    </w:p>
    <w:tbl>
      <w:tblPr>
        <w:tblStyle w:val="22"/>
        <w:tblW w:w="8341"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53"/>
        <w:gridCol w:w="1116"/>
        <w:gridCol w:w="864"/>
        <w:gridCol w:w="864"/>
        <w:gridCol w:w="840"/>
        <w:gridCol w:w="852"/>
        <w:gridCol w:w="852"/>
        <w:gridCol w:w="900"/>
        <w:gridCol w:w="900"/>
      </w:tblGrid>
      <w:tr w14:paraId="478EDEE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restart"/>
            <w:tcBorders>
              <w:top w:val="single" w:color="auto" w:sz="12" w:space="0"/>
            </w:tcBorders>
            <w:vAlign w:val="center"/>
          </w:tcPr>
          <w:p w14:paraId="3591C14C">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单位</w:t>
            </w:r>
          </w:p>
        </w:tc>
        <w:tc>
          <w:tcPr>
            <w:tcW w:w="1116" w:type="dxa"/>
            <w:vMerge w:val="restart"/>
            <w:tcBorders>
              <w:top w:val="single" w:color="auto" w:sz="12" w:space="0"/>
            </w:tcBorders>
            <w:vAlign w:val="center"/>
          </w:tcPr>
          <w:p w14:paraId="0DCBE0D0">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加标浓度（mg/L）</w:t>
            </w:r>
          </w:p>
        </w:tc>
        <w:tc>
          <w:tcPr>
            <w:tcW w:w="5172" w:type="dxa"/>
            <w:gridSpan w:val="6"/>
            <w:tcBorders>
              <w:top w:val="single" w:color="auto" w:sz="12" w:space="0"/>
              <w:bottom w:val="single" w:color="auto" w:sz="8" w:space="0"/>
            </w:tcBorders>
            <w:vAlign w:val="center"/>
          </w:tcPr>
          <w:p w14:paraId="5A3CDE7C">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测定值(mg/L)</w:t>
            </w:r>
          </w:p>
        </w:tc>
        <w:tc>
          <w:tcPr>
            <w:tcW w:w="900" w:type="dxa"/>
            <w:vMerge w:val="restart"/>
            <w:tcBorders>
              <w:top w:val="single" w:color="auto" w:sz="12" w:space="0"/>
            </w:tcBorders>
            <w:vAlign w:val="center"/>
          </w:tcPr>
          <w:p w14:paraId="7B2444E3">
            <w:pPr>
              <w:jc w:val="center"/>
              <w:rPr>
                <w:rFonts w:eastAsia="仿宋"/>
                <w:color w:val="auto"/>
                <w:szCs w:val="21"/>
              </w:rPr>
            </w:pPr>
            <w:r>
              <w:rPr>
                <w:rFonts w:hint="eastAsia"/>
                <w:color w:val="auto"/>
                <w:szCs w:val="21"/>
              </w:rPr>
              <w:t>回收率（%）</w:t>
            </w:r>
          </w:p>
        </w:tc>
      </w:tr>
      <w:tr w14:paraId="2E8326D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tcBorders>
              <w:bottom w:val="single" w:color="auto" w:sz="8" w:space="0"/>
            </w:tcBorders>
            <w:vAlign w:val="center"/>
          </w:tcPr>
          <w:p w14:paraId="50B26890">
            <w:pPr>
              <w:pStyle w:val="19"/>
              <w:spacing w:line="460" w:lineRule="exact"/>
              <w:jc w:val="center"/>
              <w:rPr>
                <w:rFonts w:ascii="Times New Roman" w:hAnsi="Times New Roman" w:eastAsia="仿宋" w:cs="Times New Roman"/>
                <w:color w:val="auto"/>
                <w:kern w:val="2"/>
                <w:sz w:val="21"/>
                <w:szCs w:val="21"/>
              </w:rPr>
            </w:pPr>
          </w:p>
        </w:tc>
        <w:tc>
          <w:tcPr>
            <w:tcW w:w="1116" w:type="dxa"/>
            <w:vMerge w:val="continue"/>
            <w:tcBorders>
              <w:bottom w:val="single" w:color="auto" w:sz="8" w:space="0"/>
            </w:tcBorders>
            <w:vAlign w:val="center"/>
          </w:tcPr>
          <w:p w14:paraId="5D5402AF">
            <w:pPr>
              <w:pStyle w:val="19"/>
              <w:spacing w:line="460" w:lineRule="exact"/>
              <w:jc w:val="center"/>
              <w:rPr>
                <w:rFonts w:ascii="Times New Roman" w:hAnsi="Times New Roman" w:eastAsia="仿宋" w:cs="Times New Roman"/>
                <w:color w:val="auto"/>
                <w:kern w:val="2"/>
                <w:sz w:val="21"/>
                <w:szCs w:val="21"/>
              </w:rPr>
            </w:pPr>
          </w:p>
        </w:tc>
        <w:tc>
          <w:tcPr>
            <w:tcW w:w="864" w:type="dxa"/>
            <w:tcBorders>
              <w:top w:val="single" w:color="auto" w:sz="12" w:space="0"/>
              <w:bottom w:val="single" w:color="auto" w:sz="8" w:space="0"/>
            </w:tcBorders>
            <w:vAlign w:val="center"/>
          </w:tcPr>
          <w:p w14:paraId="1AB881B9">
            <w:pPr>
              <w:jc w:val="center"/>
              <w:rPr>
                <w:rFonts w:eastAsia="仿宋"/>
                <w:color w:val="auto"/>
                <w:szCs w:val="21"/>
              </w:rPr>
            </w:pPr>
            <w:r>
              <w:rPr>
                <w:rFonts w:hint="eastAsia"/>
                <w:color w:val="auto"/>
                <w:szCs w:val="21"/>
              </w:rPr>
              <w:t>1</w:t>
            </w:r>
          </w:p>
        </w:tc>
        <w:tc>
          <w:tcPr>
            <w:tcW w:w="864" w:type="dxa"/>
            <w:tcBorders>
              <w:top w:val="single" w:color="auto" w:sz="12" w:space="0"/>
              <w:bottom w:val="single" w:color="auto" w:sz="8" w:space="0"/>
            </w:tcBorders>
            <w:vAlign w:val="center"/>
          </w:tcPr>
          <w:p w14:paraId="001F0725">
            <w:pPr>
              <w:jc w:val="center"/>
              <w:rPr>
                <w:rFonts w:eastAsia="仿宋"/>
                <w:color w:val="auto"/>
                <w:szCs w:val="21"/>
              </w:rPr>
            </w:pPr>
            <w:r>
              <w:rPr>
                <w:rFonts w:hint="eastAsia"/>
                <w:color w:val="auto"/>
                <w:szCs w:val="21"/>
              </w:rPr>
              <w:t>2</w:t>
            </w:r>
          </w:p>
        </w:tc>
        <w:tc>
          <w:tcPr>
            <w:tcW w:w="840" w:type="dxa"/>
            <w:tcBorders>
              <w:top w:val="single" w:color="auto" w:sz="12" w:space="0"/>
              <w:bottom w:val="single" w:color="auto" w:sz="8" w:space="0"/>
            </w:tcBorders>
            <w:vAlign w:val="center"/>
          </w:tcPr>
          <w:p w14:paraId="3A10E855">
            <w:pPr>
              <w:jc w:val="center"/>
              <w:rPr>
                <w:rFonts w:eastAsia="仿宋"/>
                <w:color w:val="auto"/>
                <w:szCs w:val="21"/>
              </w:rPr>
            </w:pPr>
            <w:r>
              <w:rPr>
                <w:rFonts w:hint="eastAsia"/>
                <w:color w:val="auto"/>
                <w:szCs w:val="21"/>
              </w:rPr>
              <w:t>3</w:t>
            </w:r>
          </w:p>
        </w:tc>
        <w:tc>
          <w:tcPr>
            <w:tcW w:w="852" w:type="dxa"/>
            <w:tcBorders>
              <w:top w:val="single" w:color="auto" w:sz="12" w:space="0"/>
              <w:bottom w:val="single" w:color="auto" w:sz="8" w:space="0"/>
            </w:tcBorders>
            <w:vAlign w:val="center"/>
          </w:tcPr>
          <w:p w14:paraId="6BDE4818">
            <w:pPr>
              <w:jc w:val="center"/>
              <w:rPr>
                <w:rFonts w:eastAsia="仿宋"/>
                <w:color w:val="auto"/>
                <w:szCs w:val="21"/>
              </w:rPr>
            </w:pPr>
            <w:r>
              <w:rPr>
                <w:rFonts w:hint="eastAsia"/>
                <w:color w:val="auto"/>
                <w:szCs w:val="21"/>
              </w:rPr>
              <w:t>4</w:t>
            </w:r>
          </w:p>
        </w:tc>
        <w:tc>
          <w:tcPr>
            <w:tcW w:w="852" w:type="dxa"/>
            <w:tcBorders>
              <w:top w:val="single" w:color="auto" w:sz="12" w:space="0"/>
              <w:bottom w:val="single" w:color="auto" w:sz="8" w:space="0"/>
            </w:tcBorders>
            <w:vAlign w:val="center"/>
          </w:tcPr>
          <w:p w14:paraId="2210B8D4">
            <w:pPr>
              <w:jc w:val="center"/>
              <w:rPr>
                <w:rFonts w:eastAsia="仿宋"/>
                <w:color w:val="auto"/>
                <w:szCs w:val="21"/>
              </w:rPr>
            </w:pPr>
            <w:r>
              <w:rPr>
                <w:rFonts w:hint="eastAsia"/>
                <w:color w:val="auto"/>
                <w:szCs w:val="21"/>
              </w:rPr>
              <w:t>5</w:t>
            </w:r>
          </w:p>
        </w:tc>
        <w:tc>
          <w:tcPr>
            <w:tcW w:w="900" w:type="dxa"/>
            <w:tcBorders>
              <w:top w:val="single" w:color="auto" w:sz="12" w:space="0"/>
              <w:bottom w:val="single" w:color="auto" w:sz="8" w:space="0"/>
            </w:tcBorders>
            <w:vAlign w:val="center"/>
          </w:tcPr>
          <w:p w14:paraId="1768A55C">
            <w:pPr>
              <w:jc w:val="center"/>
              <w:rPr>
                <w:rFonts w:eastAsia="仿宋"/>
                <w:color w:val="auto"/>
                <w:szCs w:val="21"/>
              </w:rPr>
            </w:pPr>
            <w:r>
              <w:rPr>
                <w:rFonts w:hint="eastAsia"/>
                <w:color w:val="auto"/>
                <w:szCs w:val="21"/>
              </w:rPr>
              <w:t>6</w:t>
            </w:r>
          </w:p>
        </w:tc>
        <w:tc>
          <w:tcPr>
            <w:tcW w:w="900" w:type="dxa"/>
            <w:vMerge w:val="continue"/>
            <w:tcBorders>
              <w:bottom w:val="single" w:color="auto" w:sz="8" w:space="0"/>
            </w:tcBorders>
            <w:vAlign w:val="center"/>
          </w:tcPr>
          <w:p w14:paraId="7862EC37">
            <w:pPr>
              <w:jc w:val="center"/>
              <w:rPr>
                <w:color w:val="auto"/>
                <w:szCs w:val="21"/>
              </w:rPr>
            </w:pPr>
          </w:p>
        </w:tc>
      </w:tr>
      <w:tr w14:paraId="7938CD7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restart"/>
            <w:tcBorders>
              <w:top w:val="single" w:color="auto" w:sz="8" w:space="0"/>
            </w:tcBorders>
            <w:vAlign w:val="center"/>
          </w:tcPr>
          <w:p w14:paraId="78DC4E7E">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淮安疾控</w:t>
            </w:r>
          </w:p>
        </w:tc>
        <w:tc>
          <w:tcPr>
            <w:tcW w:w="1116" w:type="dxa"/>
            <w:tcBorders>
              <w:top w:val="single" w:color="auto" w:sz="8" w:space="0"/>
            </w:tcBorders>
            <w:vAlign w:val="center"/>
          </w:tcPr>
          <w:p w14:paraId="727B01AF">
            <w:pPr>
              <w:jc w:val="center"/>
              <w:rPr>
                <w:rFonts w:eastAsia="仿宋"/>
                <w:color w:val="auto"/>
                <w:szCs w:val="21"/>
              </w:rPr>
            </w:pPr>
            <w:r>
              <w:rPr>
                <w:rFonts w:hint="eastAsia"/>
                <w:color w:val="auto"/>
                <w:szCs w:val="21"/>
              </w:rPr>
              <w:t>0.075</w:t>
            </w:r>
          </w:p>
        </w:tc>
        <w:tc>
          <w:tcPr>
            <w:tcW w:w="864" w:type="dxa"/>
            <w:tcBorders>
              <w:top w:val="single" w:color="auto" w:sz="8" w:space="0"/>
            </w:tcBorders>
            <w:vAlign w:val="center"/>
          </w:tcPr>
          <w:p w14:paraId="692EFD42">
            <w:pPr>
              <w:jc w:val="center"/>
              <w:rPr>
                <w:color w:val="auto"/>
                <w:szCs w:val="21"/>
              </w:rPr>
            </w:pPr>
            <w:r>
              <w:rPr>
                <w:color w:val="auto"/>
                <w:szCs w:val="21"/>
              </w:rPr>
              <w:t>0.0716</w:t>
            </w:r>
          </w:p>
        </w:tc>
        <w:tc>
          <w:tcPr>
            <w:tcW w:w="864" w:type="dxa"/>
            <w:tcBorders>
              <w:top w:val="single" w:color="auto" w:sz="8" w:space="0"/>
            </w:tcBorders>
            <w:vAlign w:val="center"/>
          </w:tcPr>
          <w:p w14:paraId="037947B7">
            <w:pPr>
              <w:jc w:val="center"/>
              <w:rPr>
                <w:color w:val="auto"/>
                <w:szCs w:val="21"/>
              </w:rPr>
            </w:pPr>
            <w:r>
              <w:rPr>
                <w:color w:val="auto"/>
                <w:szCs w:val="21"/>
              </w:rPr>
              <w:t>0.0724</w:t>
            </w:r>
          </w:p>
        </w:tc>
        <w:tc>
          <w:tcPr>
            <w:tcW w:w="840" w:type="dxa"/>
            <w:tcBorders>
              <w:top w:val="single" w:color="auto" w:sz="8" w:space="0"/>
            </w:tcBorders>
            <w:vAlign w:val="center"/>
          </w:tcPr>
          <w:p w14:paraId="09E1CFC2">
            <w:pPr>
              <w:jc w:val="center"/>
              <w:rPr>
                <w:color w:val="auto"/>
                <w:szCs w:val="21"/>
              </w:rPr>
            </w:pPr>
            <w:r>
              <w:rPr>
                <w:color w:val="auto"/>
                <w:szCs w:val="21"/>
              </w:rPr>
              <w:t>0.0715</w:t>
            </w:r>
          </w:p>
        </w:tc>
        <w:tc>
          <w:tcPr>
            <w:tcW w:w="852" w:type="dxa"/>
            <w:tcBorders>
              <w:top w:val="single" w:color="auto" w:sz="8" w:space="0"/>
            </w:tcBorders>
            <w:vAlign w:val="center"/>
          </w:tcPr>
          <w:p w14:paraId="5FD7FD52">
            <w:pPr>
              <w:jc w:val="center"/>
              <w:rPr>
                <w:color w:val="auto"/>
                <w:szCs w:val="21"/>
              </w:rPr>
            </w:pPr>
            <w:r>
              <w:rPr>
                <w:color w:val="auto"/>
                <w:szCs w:val="21"/>
              </w:rPr>
              <w:t>0.0716</w:t>
            </w:r>
          </w:p>
        </w:tc>
        <w:tc>
          <w:tcPr>
            <w:tcW w:w="852" w:type="dxa"/>
            <w:tcBorders>
              <w:top w:val="single" w:color="auto" w:sz="8" w:space="0"/>
            </w:tcBorders>
            <w:vAlign w:val="center"/>
          </w:tcPr>
          <w:p w14:paraId="3AFC9206">
            <w:pPr>
              <w:jc w:val="center"/>
              <w:rPr>
                <w:color w:val="auto"/>
                <w:szCs w:val="21"/>
              </w:rPr>
            </w:pPr>
            <w:r>
              <w:rPr>
                <w:color w:val="auto"/>
                <w:szCs w:val="21"/>
              </w:rPr>
              <w:t>0.0712</w:t>
            </w:r>
          </w:p>
        </w:tc>
        <w:tc>
          <w:tcPr>
            <w:tcW w:w="900" w:type="dxa"/>
            <w:tcBorders>
              <w:top w:val="single" w:color="auto" w:sz="8" w:space="0"/>
            </w:tcBorders>
            <w:vAlign w:val="center"/>
          </w:tcPr>
          <w:p w14:paraId="05D48B6E">
            <w:pPr>
              <w:jc w:val="center"/>
              <w:rPr>
                <w:color w:val="auto"/>
                <w:szCs w:val="21"/>
              </w:rPr>
            </w:pPr>
            <w:r>
              <w:rPr>
                <w:color w:val="auto"/>
                <w:szCs w:val="21"/>
              </w:rPr>
              <w:t>0.0717</w:t>
            </w:r>
          </w:p>
        </w:tc>
        <w:tc>
          <w:tcPr>
            <w:tcW w:w="900" w:type="dxa"/>
            <w:tcBorders>
              <w:top w:val="single" w:color="auto" w:sz="8" w:space="0"/>
            </w:tcBorders>
            <w:vAlign w:val="center"/>
          </w:tcPr>
          <w:p w14:paraId="691AA9A8">
            <w:pPr>
              <w:jc w:val="center"/>
              <w:rPr>
                <w:rFonts w:cs="宋体"/>
                <w:color w:val="auto"/>
                <w:szCs w:val="21"/>
              </w:rPr>
            </w:pPr>
            <w:r>
              <w:rPr>
                <w:rFonts w:hint="eastAsia" w:cs="宋体"/>
                <w:color w:val="auto"/>
                <w:szCs w:val="21"/>
              </w:rPr>
              <w:t>95.6</w:t>
            </w:r>
          </w:p>
        </w:tc>
      </w:tr>
      <w:tr w14:paraId="43B8498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05160AEB">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34B5CE53">
            <w:pPr>
              <w:jc w:val="center"/>
              <w:rPr>
                <w:rFonts w:eastAsia="仿宋"/>
                <w:color w:val="auto"/>
                <w:szCs w:val="21"/>
              </w:rPr>
            </w:pPr>
            <w:r>
              <w:rPr>
                <w:rFonts w:hint="eastAsia"/>
                <w:color w:val="auto"/>
                <w:szCs w:val="21"/>
              </w:rPr>
              <w:t>0.5</w:t>
            </w:r>
          </w:p>
        </w:tc>
        <w:tc>
          <w:tcPr>
            <w:tcW w:w="864" w:type="dxa"/>
            <w:vAlign w:val="center"/>
          </w:tcPr>
          <w:p w14:paraId="58CE4062">
            <w:pPr>
              <w:jc w:val="center"/>
              <w:rPr>
                <w:color w:val="auto"/>
                <w:szCs w:val="21"/>
              </w:rPr>
            </w:pPr>
            <w:r>
              <w:rPr>
                <w:color w:val="auto"/>
                <w:szCs w:val="21"/>
              </w:rPr>
              <w:t>0.485</w:t>
            </w:r>
          </w:p>
        </w:tc>
        <w:tc>
          <w:tcPr>
            <w:tcW w:w="864" w:type="dxa"/>
            <w:vAlign w:val="center"/>
          </w:tcPr>
          <w:p w14:paraId="77855FD7">
            <w:pPr>
              <w:jc w:val="center"/>
              <w:rPr>
                <w:color w:val="auto"/>
                <w:szCs w:val="21"/>
              </w:rPr>
            </w:pPr>
            <w:r>
              <w:rPr>
                <w:color w:val="auto"/>
                <w:szCs w:val="21"/>
              </w:rPr>
              <w:t>0.494</w:t>
            </w:r>
          </w:p>
        </w:tc>
        <w:tc>
          <w:tcPr>
            <w:tcW w:w="840" w:type="dxa"/>
            <w:vAlign w:val="center"/>
          </w:tcPr>
          <w:p w14:paraId="18AC3EE8">
            <w:pPr>
              <w:jc w:val="center"/>
              <w:rPr>
                <w:color w:val="auto"/>
                <w:szCs w:val="21"/>
              </w:rPr>
            </w:pPr>
            <w:r>
              <w:rPr>
                <w:color w:val="auto"/>
                <w:szCs w:val="21"/>
              </w:rPr>
              <w:t>0.498</w:t>
            </w:r>
          </w:p>
        </w:tc>
        <w:tc>
          <w:tcPr>
            <w:tcW w:w="852" w:type="dxa"/>
            <w:vAlign w:val="center"/>
          </w:tcPr>
          <w:p w14:paraId="279DFCC9">
            <w:pPr>
              <w:jc w:val="center"/>
              <w:rPr>
                <w:color w:val="auto"/>
                <w:szCs w:val="21"/>
              </w:rPr>
            </w:pPr>
            <w:r>
              <w:rPr>
                <w:color w:val="auto"/>
                <w:szCs w:val="21"/>
              </w:rPr>
              <w:t>0.492</w:t>
            </w:r>
          </w:p>
        </w:tc>
        <w:tc>
          <w:tcPr>
            <w:tcW w:w="852" w:type="dxa"/>
            <w:vAlign w:val="center"/>
          </w:tcPr>
          <w:p w14:paraId="75DDB6E3">
            <w:pPr>
              <w:jc w:val="center"/>
              <w:rPr>
                <w:color w:val="auto"/>
                <w:szCs w:val="21"/>
              </w:rPr>
            </w:pPr>
            <w:r>
              <w:rPr>
                <w:color w:val="auto"/>
                <w:szCs w:val="21"/>
              </w:rPr>
              <w:t>0.481</w:t>
            </w:r>
          </w:p>
        </w:tc>
        <w:tc>
          <w:tcPr>
            <w:tcW w:w="900" w:type="dxa"/>
            <w:vAlign w:val="center"/>
          </w:tcPr>
          <w:p w14:paraId="4C432A6D">
            <w:pPr>
              <w:jc w:val="center"/>
              <w:rPr>
                <w:color w:val="auto"/>
                <w:szCs w:val="21"/>
              </w:rPr>
            </w:pPr>
            <w:r>
              <w:rPr>
                <w:color w:val="auto"/>
                <w:szCs w:val="21"/>
              </w:rPr>
              <w:t>0.482</w:t>
            </w:r>
          </w:p>
        </w:tc>
        <w:tc>
          <w:tcPr>
            <w:tcW w:w="900" w:type="dxa"/>
            <w:vAlign w:val="center"/>
          </w:tcPr>
          <w:p w14:paraId="290636AC">
            <w:pPr>
              <w:jc w:val="center"/>
              <w:rPr>
                <w:rFonts w:cs="宋体"/>
                <w:color w:val="auto"/>
                <w:szCs w:val="21"/>
              </w:rPr>
            </w:pPr>
            <w:r>
              <w:rPr>
                <w:rFonts w:hint="eastAsia" w:cs="宋体"/>
                <w:color w:val="auto"/>
                <w:szCs w:val="21"/>
              </w:rPr>
              <w:t>97.7</w:t>
            </w:r>
          </w:p>
        </w:tc>
      </w:tr>
      <w:tr w14:paraId="3542CAC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6F55FA5A">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38CB892F">
            <w:pPr>
              <w:jc w:val="center"/>
              <w:rPr>
                <w:rFonts w:eastAsia="仿宋"/>
                <w:color w:val="auto"/>
                <w:szCs w:val="21"/>
              </w:rPr>
            </w:pPr>
            <w:r>
              <w:rPr>
                <w:rFonts w:hint="eastAsia"/>
                <w:color w:val="auto"/>
                <w:szCs w:val="21"/>
              </w:rPr>
              <w:t>0.75</w:t>
            </w:r>
          </w:p>
        </w:tc>
        <w:tc>
          <w:tcPr>
            <w:tcW w:w="864" w:type="dxa"/>
            <w:vAlign w:val="center"/>
          </w:tcPr>
          <w:p w14:paraId="1CC76F9B">
            <w:pPr>
              <w:jc w:val="center"/>
              <w:rPr>
                <w:color w:val="auto"/>
                <w:szCs w:val="21"/>
              </w:rPr>
            </w:pPr>
            <w:r>
              <w:rPr>
                <w:color w:val="auto"/>
                <w:szCs w:val="21"/>
              </w:rPr>
              <w:t>0.724</w:t>
            </w:r>
          </w:p>
        </w:tc>
        <w:tc>
          <w:tcPr>
            <w:tcW w:w="864" w:type="dxa"/>
            <w:vAlign w:val="center"/>
          </w:tcPr>
          <w:p w14:paraId="366092F1">
            <w:pPr>
              <w:jc w:val="center"/>
              <w:rPr>
                <w:color w:val="auto"/>
                <w:szCs w:val="21"/>
              </w:rPr>
            </w:pPr>
            <w:r>
              <w:rPr>
                <w:color w:val="auto"/>
                <w:szCs w:val="21"/>
              </w:rPr>
              <w:t>0.721</w:t>
            </w:r>
          </w:p>
        </w:tc>
        <w:tc>
          <w:tcPr>
            <w:tcW w:w="840" w:type="dxa"/>
            <w:vAlign w:val="center"/>
          </w:tcPr>
          <w:p w14:paraId="3AB1A042">
            <w:pPr>
              <w:jc w:val="center"/>
              <w:rPr>
                <w:color w:val="auto"/>
                <w:szCs w:val="21"/>
              </w:rPr>
            </w:pPr>
            <w:r>
              <w:rPr>
                <w:color w:val="auto"/>
                <w:szCs w:val="21"/>
              </w:rPr>
              <w:t>0.717</w:t>
            </w:r>
          </w:p>
        </w:tc>
        <w:tc>
          <w:tcPr>
            <w:tcW w:w="852" w:type="dxa"/>
            <w:vAlign w:val="center"/>
          </w:tcPr>
          <w:p w14:paraId="226BF91F">
            <w:pPr>
              <w:jc w:val="center"/>
              <w:rPr>
                <w:color w:val="auto"/>
                <w:szCs w:val="21"/>
              </w:rPr>
            </w:pPr>
            <w:r>
              <w:rPr>
                <w:color w:val="auto"/>
                <w:szCs w:val="21"/>
              </w:rPr>
              <w:t>0.7</w:t>
            </w:r>
            <w:r>
              <w:rPr>
                <w:rFonts w:hint="eastAsia"/>
                <w:color w:val="auto"/>
                <w:szCs w:val="21"/>
              </w:rPr>
              <w:t>2</w:t>
            </w:r>
            <w:r>
              <w:rPr>
                <w:color w:val="auto"/>
                <w:szCs w:val="21"/>
              </w:rPr>
              <w:t>3</w:t>
            </w:r>
          </w:p>
        </w:tc>
        <w:tc>
          <w:tcPr>
            <w:tcW w:w="852" w:type="dxa"/>
            <w:vAlign w:val="center"/>
          </w:tcPr>
          <w:p w14:paraId="491C4DEC">
            <w:pPr>
              <w:jc w:val="center"/>
              <w:rPr>
                <w:color w:val="auto"/>
                <w:szCs w:val="21"/>
              </w:rPr>
            </w:pPr>
            <w:r>
              <w:rPr>
                <w:color w:val="auto"/>
                <w:szCs w:val="21"/>
              </w:rPr>
              <w:t>0.717</w:t>
            </w:r>
          </w:p>
        </w:tc>
        <w:tc>
          <w:tcPr>
            <w:tcW w:w="900" w:type="dxa"/>
            <w:vAlign w:val="center"/>
          </w:tcPr>
          <w:p w14:paraId="0F8D0E81">
            <w:pPr>
              <w:jc w:val="center"/>
              <w:rPr>
                <w:color w:val="auto"/>
                <w:szCs w:val="21"/>
              </w:rPr>
            </w:pPr>
            <w:r>
              <w:rPr>
                <w:color w:val="auto"/>
                <w:szCs w:val="21"/>
              </w:rPr>
              <w:t>0.715</w:t>
            </w:r>
          </w:p>
        </w:tc>
        <w:tc>
          <w:tcPr>
            <w:tcW w:w="900" w:type="dxa"/>
            <w:vAlign w:val="center"/>
          </w:tcPr>
          <w:p w14:paraId="58ACB073">
            <w:pPr>
              <w:jc w:val="center"/>
              <w:rPr>
                <w:rFonts w:cs="宋体"/>
                <w:color w:val="auto"/>
                <w:szCs w:val="21"/>
              </w:rPr>
            </w:pPr>
            <w:r>
              <w:rPr>
                <w:rFonts w:hint="eastAsia" w:cs="宋体"/>
                <w:color w:val="auto"/>
                <w:szCs w:val="21"/>
              </w:rPr>
              <w:t>95.9</w:t>
            </w:r>
          </w:p>
        </w:tc>
      </w:tr>
      <w:tr w14:paraId="4130A78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restart"/>
            <w:vAlign w:val="center"/>
          </w:tcPr>
          <w:p w14:paraId="18E65BF4">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宿迁疾控</w:t>
            </w:r>
          </w:p>
        </w:tc>
        <w:tc>
          <w:tcPr>
            <w:tcW w:w="1116" w:type="dxa"/>
            <w:vAlign w:val="center"/>
          </w:tcPr>
          <w:p w14:paraId="51D9C5A1">
            <w:pPr>
              <w:jc w:val="center"/>
              <w:rPr>
                <w:color w:val="auto"/>
                <w:szCs w:val="21"/>
              </w:rPr>
            </w:pPr>
            <w:r>
              <w:rPr>
                <w:rFonts w:hint="eastAsia"/>
                <w:color w:val="auto"/>
                <w:szCs w:val="21"/>
              </w:rPr>
              <w:t>0.075</w:t>
            </w:r>
          </w:p>
        </w:tc>
        <w:tc>
          <w:tcPr>
            <w:tcW w:w="864" w:type="dxa"/>
            <w:vAlign w:val="center"/>
          </w:tcPr>
          <w:p w14:paraId="452E6390">
            <w:pPr>
              <w:jc w:val="center"/>
              <w:rPr>
                <w:color w:val="auto"/>
                <w:szCs w:val="21"/>
              </w:rPr>
            </w:pPr>
            <w:r>
              <w:rPr>
                <w:rFonts w:hint="eastAsia"/>
                <w:color w:val="auto"/>
                <w:szCs w:val="21"/>
              </w:rPr>
              <w:t>0.074</w:t>
            </w:r>
          </w:p>
        </w:tc>
        <w:tc>
          <w:tcPr>
            <w:tcW w:w="864" w:type="dxa"/>
            <w:vAlign w:val="center"/>
          </w:tcPr>
          <w:p w14:paraId="551BC9BA">
            <w:pPr>
              <w:jc w:val="center"/>
              <w:rPr>
                <w:color w:val="auto"/>
                <w:szCs w:val="21"/>
              </w:rPr>
            </w:pPr>
            <w:r>
              <w:rPr>
                <w:rFonts w:hint="eastAsia"/>
                <w:color w:val="auto"/>
                <w:szCs w:val="21"/>
              </w:rPr>
              <w:t>0.073</w:t>
            </w:r>
          </w:p>
        </w:tc>
        <w:tc>
          <w:tcPr>
            <w:tcW w:w="840" w:type="dxa"/>
            <w:vAlign w:val="center"/>
          </w:tcPr>
          <w:p w14:paraId="7065B8B7">
            <w:pPr>
              <w:jc w:val="center"/>
              <w:rPr>
                <w:color w:val="auto"/>
                <w:szCs w:val="21"/>
              </w:rPr>
            </w:pPr>
            <w:r>
              <w:rPr>
                <w:rFonts w:hint="eastAsia"/>
                <w:color w:val="auto"/>
                <w:szCs w:val="21"/>
              </w:rPr>
              <w:t>0.076</w:t>
            </w:r>
          </w:p>
        </w:tc>
        <w:tc>
          <w:tcPr>
            <w:tcW w:w="852" w:type="dxa"/>
            <w:vAlign w:val="center"/>
          </w:tcPr>
          <w:p w14:paraId="1123E91D">
            <w:pPr>
              <w:jc w:val="center"/>
              <w:rPr>
                <w:color w:val="auto"/>
                <w:szCs w:val="21"/>
              </w:rPr>
            </w:pPr>
            <w:r>
              <w:rPr>
                <w:rFonts w:hint="eastAsia"/>
                <w:color w:val="auto"/>
                <w:szCs w:val="21"/>
              </w:rPr>
              <w:t>0.072</w:t>
            </w:r>
          </w:p>
        </w:tc>
        <w:tc>
          <w:tcPr>
            <w:tcW w:w="852" w:type="dxa"/>
            <w:vAlign w:val="center"/>
          </w:tcPr>
          <w:p w14:paraId="3C26C4D5">
            <w:pPr>
              <w:jc w:val="center"/>
              <w:rPr>
                <w:color w:val="auto"/>
                <w:szCs w:val="21"/>
              </w:rPr>
            </w:pPr>
            <w:r>
              <w:rPr>
                <w:rFonts w:hint="eastAsia"/>
                <w:color w:val="auto"/>
                <w:szCs w:val="21"/>
              </w:rPr>
              <w:t>0.075</w:t>
            </w:r>
          </w:p>
        </w:tc>
        <w:tc>
          <w:tcPr>
            <w:tcW w:w="900" w:type="dxa"/>
            <w:vAlign w:val="center"/>
          </w:tcPr>
          <w:p w14:paraId="2C3C04D4">
            <w:pPr>
              <w:jc w:val="center"/>
              <w:rPr>
                <w:color w:val="auto"/>
                <w:szCs w:val="21"/>
              </w:rPr>
            </w:pPr>
            <w:r>
              <w:rPr>
                <w:rFonts w:hint="eastAsia"/>
                <w:color w:val="auto"/>
                <w:szCs w:val="21"/>
              </w:rPr>
              <w:t>0.074</w:t>
            </w:r>
          </w:p>
        </w:tc>
        <w:tc>
          <w:tcPr>
            <w:tcW w:w="900" w:type="dxa"/>
            <w:vAlign w:val="center"/>
          </w:tcPr>
          <w:p w14:paraId="253E7636">
            <w:pPr>
              <w:jc w:val="center"/>
              <w:rPr>
                <w:color w:val="auto"/>
                <w:szCs w:val="21"/>
              </w:rPr>
            </w:pPr>
            <w:r>
              <w:rPr>
                <w:rFonts w:hint="eastAsia"/>
                <w:color w:val="auto"/>
                <w:szCs w:val="21"/>
              </w:rPr>
              <w:t>98.6</w:t>
            </w:r>
          </w:p>
        </w:tc>
      </w:tr>
      <w:tr w14:paraId="35B5675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2DC7353D">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1BA81B39">
            <w:pPr>
              <w:jc w:val="center"/>
              <w:rPr>
                <w:color w:val="auto"/>
                <w:szCs w:val="21"/>
              </w:rPr>
            </w:pPr>
            <w:r>
              <w:rPr>
                <w:rFonts w:hint="eastAsia"/>
                <w:color w:val="auto"/>
                <w:szCs w:val="21"/>
              </w:rPr>
              <w:t>0.5</w:t>
            </w:r>
          </w:p>
        </w:tc>
        <w:tc>
          <w:tcPr>
            <w:tcW w:w="864" w:type="dxa"/>
            <w:vAlign w:val="center"/>
          </w:tcPr>
          <w:p w14:paraId="4B65621E">
            <w:pPr>
              <w:jc w:val="center"/>
              <w:rPr>
                <w:color w:val="auto"/>
                <w:szCs w:val="21"/>
              </w:rPr>
            </w:pPr>
            <w:r>
              <w:rPr>
                <w:rFonts w:hint="eastAsia"/>
                <w:color w:val="auto"/>
                <w:szCs w:val="21"/>
              </w:rPr>
              <w:t>0.493</w:t>
            </w:r>
          </w:p>
        </w:tc>
        <w:tc>
          <w:tcPr>
            <w:tcW w:w="864" w:type="dxa"/>
            <w:vAlign w:val="center"/>
          </w:tcPr>
          <w:p w14:paraId="0F97EC5B">
            <w:pPr>
              <w:jc w:val="center"/>
              <w:rPr>
                <w:color w:val="auto"/>
                <w:szCs w:val="21"/>
              </w:rPr>
            </w:pPr>
            <w:r>
              <w:rPr>
                <w:rFonts w:hint="eastAsia"/>
                <w:color w:val="auto"/>
                <w:szCs w:val="21"/>
              </w:rPr>
              <w:t>0.530</w:t>
            </w:r>
          </w:p>
        </w:tc>
        <w:tc>
          <w:tcPr>
            <w:tcW w:w="840" w:type="dxa"/>
            <w:vAlign w:val="center"/>
          </w:tcPr>
          <w:p w14:paraId="3D16EAEF">
            <w:pPr>
              <w:jc w:val="center"/>
              <w:rPr>
                <w:color w:val="auto"/>
                <w:szCs w:val="21"/>
              </w:rPr>
            </w:pPr>
            <w:r>
              <w:rPr>
                <w:rFonts w:hint="eastAsia"/>
                <w:color w:val="auto"/>
                <w:szCs w:val="21"/>
              </w:rPr>
              <w:t>0.484</w:t>
            </w:r>
          </w:p>
        </w:tc>
        <w:tc>
          <w:tcPr>
            <w:tcW w:w="852" w:type="dxa"/>
            <w:vAlign w:val="center"/>
          </w:tcPr>
          <w:p w14:paraId="53CF0A32">
            <w:pPr>
              <w:jc w:val="center"/>
              <w:rPr>
                <w:color w:val="auto"/>
                <w:szCs w:val="21"/>
              </w:rPr>
            </w:pPr>
            <w:r>
              <w:rPr>
                <w:rFonts w:hint="eastAsia"/>
                <w:color w:val="auto"/>
                <w:szCs w:val="21"/>
              </w:rPr>
              <w:t>0.526</w:t>
            </w:r>
          </w:p>
        </w:tc>
        <w:tc>
          <w:tcPr>
            <w:tcW w:w="852" w:type="dxa"/>
            <w:vAlign w:val="center"/>
          </w:tcPr>
          <w:p w14:paraId="561951F3">
            <w:pPr>
              <w:jc w:val="center"/>
              <w:rPr>
                <w:color w:val="auto"/>
                <w:szCs w:val="21"/>
              </w:rPr>
            </w:pPr>
            <w:r>
              <w:rPr>
                <w:rFonts w:hint="eastAsia"/>
                <w:color w:val="auto"/>
                <w:szCs w:val="21"/>
              </w:rPr>
              <w:t>0.514</w:t>
            </w:r>
          </w:p>
        </w:tc>
        <w:tc>
          <w:tcPr>
            <w:tcW w:w="900" w:type="dxa"/>
            <w:vAlign w:val="center"/>
          </w:tcPr>
          <w:p w14:paraId="102FF6A9">
            <w:pPr>
              <w:jc w:val="center"/>
              <w:rPr>
                <w:color w:val="auto"/>
                <w:szCs w:val="21"/>
              </w:rPr>
            </w:pPr>
            <w:r>
              <w:rPr>
                <w:rFonts w:hint="eastAsia"/>
                <w:color w:val="auto"/>
                <w:szCs w:val="21"/>
              </w:rPr>
              <w:t>0.517</w:t>
            </w:r>
          </w:p>
        </w:tc>
        <w:tc>
          <w:tcPr>
            <w:tcW w:w="900" w:type="dxa"/>
            <w:vAlign w:val="center"/>
          </w:tcPr>
          <w:p w14:paraId="4AE983F6">
            <w:pPr>
              <w:jc w:val="center"/>
              <w:rPr>
                <w:color w:val="auto"/>
                <w:szCs w:val="21"/>
              </w:rPr>
            </w:pPr>
            <w:r>
              <w:rPr>
                <w:rFonts w:hint="eastAsia"/>
                <w:color w:val="auto"/>
                <w:szCs w:val="21"/>
              </w:rPr>
              <w:t>102</w:t>
            </w:r>
          </w:p>
        </w:tc>
      </w:tr>
      <w:tr w14:paraId="751223C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56EB5681">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28840DFA">
            <w:pPr>
              <w:jc w:val="center"/>
              <w:rPr>
                <w:color w:val="auto"/>
                <w:szCs w:val="21"/>
              </w:rPr>
            </w:pPr>
            <w:r>
              <w:rPr>
                <w:rFonts w:hint="eastAsia"/>
                <w:color w:val="auto"/>
                <w:szCs w:val="21"/>
              </w:rPr>
              <w:t>0.75</w:t>
            </w:r>
          </w:p>
        </w:tc>
        <w:tc>
          <w:tcPr>
            <w:tcW w:w="864" w:type="dxa"/>
            <w:vAlign w:val="center"/>
          </w:tcPr>
          <w:p w14:paraId="5D8F5281">
            <w:pPr>
              <w:jc w:val="center"/>
              <w:rPr>
                <w:color w:val="auto"/>
                <w:szCs w:val="21"/>
              </w:rPr>
            </w:pPr>
            <w:r>
              <w:rPr>
                <w:rFonts w:hint="eastAsia"/>
                <w:color w:val="auto"/>
                <w:szCs w:val="21"/>
              </w:rPr>
              <w:t>0.778</w:t>
            </w:r>
          </w:p>
        </w:tc>
        <w:tc>
          <w:tcPr>
            <w:tcW w:w="864" w:type="dxa"/>
            <w:vAlign w:val="center"/>
          </w:tcPr>
          <w:p w14:paraId="700E6A87">
            <w:pPr>
              <w:jc w:val="center"/>
              <w:rPr>
                <w:color w:val="auto"/>
                <w:szCs w:val="21"/>
              </w:rPr>
            </w:pPr>
            <w:r>
              <w:rPr>
                <w:rFonts w:hint="eastAsia"/>
                <w:color w:val="auto"/>
                <w:szCs w:val="21"/>
              </w:rPr>
              <w:t>0.734</w:t>
            </w:r>
          </w:p>
        </w:tc>
        <w:tc>
          <w:tcPr>
            <w:tcW w:w="840" w:type="dxa"/>
            <w:vAlign w:val="center"/>
          </w:tcPr>
          <w:p w14:paraId="4B0C42B6">
            <w:pPr>
              <w:jc w:val="center"/>
              <w:rPr>
                <w:color w:val="auto"/>
                <w:szCs w:val="21"/>
              </w:rPr>
            </w:pPr>
            <w:r>
              <w:rPr>
                <w:rFonts w:hint="eastAsia"/>
                <w:color w:val="auto"/>
                <w:szCs w:val="21"/>
              </w:rPr>
              <w:t>0.723</w:t>
            </w:r>
          </w:p>
        </w:tc>
        <w:tc>
          <w:tcPr>
            <w:tcW w:w="852" w:type="dxa"/>
            <w:vAlign w:val="center"/>
          </w:tcPr>
          <w:p w14:paraId="33897D29">
            <w:pPr>
              <w:jc w:val="center"/>
              <w:rPr>
                <w:color w:val="auto"/>
                <w:szCs w:val="21"/>
              </w:rPr>
            </w:pPr>
            <w:r>
              <w:rPr>
                <w:rFonts w:hint="eastAsia"/>
                <w:color w:val="auto"/>
                <w:szCs w:val="21"/>
              </w:rPr>
              <w:t>0.725</w:t>
            </w:r>
          </w:p>
        </w:tc>
        <w:tc>
          <w:tcPr>
            <w:tcW w:w="852" w:type="dxa"/>
            <w:vAlign w:val="center"/>
          </w:tcPr>
          <w:p w14:paraId="3A3F11C8">
            <w:pPr>
              <w:jc w:val="center"/>
              <w:rPr>
                <w:color w:val="auto"/>
                <w:szCs w:val="21"/>
              </w:rPr>
            </w:pPr>
            <w:r>
              <w:rPr>
                <w:rFonts w:hint="eastAsia"/>
                <w:color w:val="auto"/>
                <w:szCs w:val="21"/>
              </w:rPr>
              <w:t>0.752</w:t>
            </w:r>
          </w:p>
        </w:tc>
        <w:tc>
          <w:tcPr>
            <w:tcW w:w="900" w:type="dxa"/>
            <w:vAlign w:val="center"/>
          </w:tcPr>
          <w:p w14:paraId="3982D115">
            <w:pPr>
              <w:jc w:val="center"/>
              <w:rPr>
                <w:color w:val="auto"/>
                <w:szCs w:val="21"/>
              </w:rPr>
            </w:pPr>
            <w:r>
              <w:rPr>
                <w:rFonts w:hint="eastAsia"/>
                <w:color w:val="auto"/>
                <w:szCs w:val="21"/>
              </w:rPr>
              <w:t>0.771</w:t>
            </w:r>
          </w:p>
        </w:tc>
        <w:tc>
          <w:tcPr>
            <w:tcW w:w="900" w:type="dxa"/>
            <w:vAlign w:val="center"/>
          </w:tcPr>
          <w:p w14:paraId="35273593">
            <w:pPr>
              <w:jc w:val="center"/>
              <w:rPr>
                <w:color w:val="auto"/>
                <w:szCs w:val="21"/>
              </w:rPr>
            </w:pPr>
            <w:r>
              <w:rPr>
                <w:rFonts w:hint="eastAsia"/>
                <w:color w:val="auto"/>
                <w:szCs w:val="21"/>
              </w:rPr>
              <w:t>99.6</w:t>
            </w:r>
          </w:p>
        </w:tc>
      </w:tr>
      <w:tr w14:paraId="353715E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restart"/>
            <w:vAlign w:val="center"/>
          </w:tcPr>
          <w:p w14:paraId="23557394">
            <w:pPr>
              <w:pStyle w:val="19"/>
              <w:spacing w:line="460" w:lineRule="exact"/>
              <w:jc w:val="center"/>
              <w:rPr>
                <w:rFonts w:ascii="Times New Roman" w:hAnsi="Times New Roman" w:eastAsia="仿宋" w:cs="Times New Roman"/>
                <w:color w:val="auto"/>
                <w:kern w:val="2"/>
                <w:sz w:val="21"/>
                <w:szCs w:val="21"/>
              </w:rPr>
            </w:pPr>
            <w:r>
              <w:rPr>
                <w:rFonts w:hint="eastAsia" w:ascii="Times New Roman" w:hAnsi="Times New Roman" w:eastAsia="仿宋" w:cs="Times New Roman"/>
                <w:color w:val="auto"/>
                <w:kern w:val="2"/>
                <w:sz w:val="21"/>
                <w:szCs w:val="21"/>
              </w:rPr>
              <w:t>昆山疾控</w:t>
            </w:r>
          </w:p>
        </w:tc>
        <w:tc>
          <w:tcPr>
            <w:tcW w:w="1116" w:type="dxa"/>
            <w:vAlign w:val="center"/>
          </w:tcPr>
          <w:p w14:paraId="1D49747C">
            <w:pPr>
              <w:jc w:val="center"/>
              <w:rPr>
                <w:color w:val="auto"/>
                <w:szCs w:val="21"/>
              </w:rPr>
            </w:pPr>
            <w:r>
              <w:rPr>
                <w:rFonts w:hint="eastAsia"/>
                <w:color w:val="auto"/>
                <w:szCs w:val="21"/>
              </w:rPr>
              <w:t>0.075</w:t>
            </w:r>
          </w:p>
        </w:tc>
        <w:tc>
          <w:tcPr>
            <w:tcW w:w="864" w:type="dxa"/>
            <w:vAlign w:val="center"/>
          </w:tcPr>
          <w:p w14:paraId="15654D32">
            <w:pPr>
              <w:jc w:val="center"/>
              <w:rPr>
                <w:color w:val="auto"/>
                <w:szCs w:val="21"/>
              </w:rPr>
            </w:pPr>
            <w:r>
              <w:rPr>
                <w:rFonts w:hint="eastAsia"/>
                <w:color w:val="auto"/>
                <w:szCs w:val="21"/>
              </w:rPr>
              <w:t>0.0955</w:t>
            </w:r>
          </w:p>
        </w:tc>
        <w:tc>
          <w:tcPr>
            <w:tcW w:w="864" w:type="dxa"/>
            <w:vAlign w:val="center"/>
          </w:tcPr>
          <w:p w14:paraId="288CCFF2">
            <w:pPr>
              <w:jc w:val="center"/>
              <w:rPr>
                <w:color w:val="auto"/>
                <w:szCs w:val="21"/>
              </w:rPr>
            </w:pPr>
            <w:r>
              <w:rPr>
                <w:rFonts w:hint="eastAsia"/>
                <w:color w:val="auto"/>
                <w:szCs w:val="21"/>
              </w:rPr>
              <w:t>0.0964</w:t>
            </w:r>
          </w:p>
        </w:tc>
        <w:tc>
          <w:tcPr>
            <w:tcW w:w="840" w:type="dxa"/>
            <w:vAlign w:val="center"/>
          </w:tcPr>
          <w:p w14:paraId="57D5025E">
            <w:pPr>
              <w:jc w:val="center"/>
              <w:rPr>
                <w:color w:val="auto"/>
                <w:szCs w:val="21"/>
              </w:rPr>
            </w:pPr>
            <w:r>
              <w:rPr>
                <w:rFonts w:hint="eastAsia"/>
                <w:color w:val="auto"/>
                <w:szCs w:val="21"/>
              </w:rPr>
              <w:t>0.0958</w:t>
            </w:r>
          </w:p>
        </w:tc>
        <w:tc>
          <w:tcPr>
            <w:tcW w:w="852" w:type="dxa"/>
            <w:vAlign w:val="center"/>
          </w:tcPr>
          <w:p w14:paraId="28F9CC34">
            <w:pPr>
              <w:jc w:val="center"/>
              <w:rPr>
                <w:color w:val="auto"/>
                <w:szCs w:val="21"/>
              </w:rPr>
            </w:pPr>
            <w:r>
              <w:rPr>
                <w:rFonts w:hint="eastAsia"/>
                <w:color w:val="auto"/>
                <w:szCs w:val="21"/>
              </w:rPr>
              <w:t>0.0954</w:t>
            </w:r>
          </w:p>
        </w:tc>
        <w:tc>
          <w:tcPr>
            <w:tcW w:w="852" w:type="dxa"/>
            <w:vAlign w:val="center"/>
          </w:tcPr>
          <w:p w14:paraId="606A9776">
            <w:pPr>
              <w:jc w:val="center"/>
              <w:rPr>
                <w:color w:val="auto"/>
                <w:szCs w:val="21"/>
              </w:rPr>
            </w:pPr>
            <w:r>
              <w:rPr>
                <w:rFonts w:hint="eastAsia"/>
                <w:color w:val="auto"/>
                <w:szCs w:val="21"/>
              </w:rPr>
              <w:t>0.0950</w:t>
            </w:r>
          </w:p>
        </w:tc>
        <w:tc>
          <w:tcPr>
            <w:tcW w:w="900" w:type="dxa"/>
            <w:vAlign w:val="center"/>
          </w:tcPr>
          <w:p w14:paraId="55019161">
            <w:pPr>
              <w:jc w:val="center"/>
              <w:rPr>
                <w:color w:val="auto"/>
                <w:szCs w:val="21"/>
              </w:rPr>
            </w:pPr>
            <w:r>
              <w:rPr>
                <w:rFonts w:hint="eastAsia"/>
                <w:color w:val="auto"/>
                <w:szCs w:val="21"/>
              </w:rPr>
              <w:t>0.0962</w:t>
            </w:r>
          </w:p>
        </w:tc>
        <w:tc>
          <w:tcPr>
            <w:tcW w:w="900" w:type="dxa"/>
            <w:vAlign w:val="center"/>
          </w:tcPr>
          <w:p w14:paraId="15B010A5">
            <w:pPr>
              <w:jc w:val="center"/>
              <w:rPr>
                <w:color w:val="auto"/>
                <w:szCs w:val="21"/>
              </w:rPr>
            </w:pPr>
            <w:r>
              <w:rPr>
                <w:rFonts w:hint="eastAsia"/>
                <w:color w:val="auto"/>
                <w:szCs w:val="21"/>
              </w:rPr>
              <w:t>95.7</w:t>
            </w:r>
          </w:p>
        </w:tc>
      </w:tr>
      <w:tr w14:paraId="71397E8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24E2D55E">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31CBE926">
            <w:pPr>
              <w:jc w:val="center"/>
              <w:rPr>
                <w:color w:val="auto"/>
                <w:szCs w:val="21"/>
              </w:rPr>
            </w:pPr>
            <w:r>
              <w:rPr>
                <w:rFonts w:hint="eastAsia"/>
                <w:color w:val="auto"/>
                <w:szCs w:val="21"/>
              </w:rPr>
              <w:t>0.5</w:t>
            </w:r>
          </w:p>
        </w:tc>
        <w:tc>
          <w:tcPr>
            <w:tcW w:w="864" w:type="dxa"/>
            <w:vAlign w:val="center"/>
          </w:tcPr>
          <w:p w14:paraId="605BBA64">
            <w:pPr>
              <w:jc w:val="center"/>
              <w:rPr>
                <w:color w:val="auto"/>
                <w:szCs w:val="21"/>
              </w:rPr>
            </w:pPr>
            <w:r>
              <w:rPr>
                <w:rFonts w:hint="eastAsia"/>
                <w:color w:val="auto"/>
                <w:szCs w:val="21"/>
              </w:rPr>
              <w:t>0.482</w:t>
            </w:r>
          </w:p>
        </w:tc>
        <w:tc>
          <w:tcPr>
            <w:tcW w:w="864" w:type="dxa"/>
            <w:vAlign w:val="center"/>
          </w:tcPr>
          <w:p w14:paraId="6BEF3653">
            <w:pPr>
              <w:jc w:val="center"/>
              <w:rPr>
                <w:color w:val="auto"/>
                <w:szCs w:val="21"/>
              </w:rPr>
            </w:pPr>
            <w:r>
              <w:rPr>
                <w:rFonts w:hint="eastAsia"/>
                <w:color w:val="auto"/>
                <w:szCs w:val="21"/>
              </w:rPr>
              <w:t>0.479</w:t>
            </w:r>
          </w:p>
        </w:tc>
        <w:tc>
          <w:tcPr>
            <w:tcW w:w="840" w:type="dxa"/>
            <w:vAlign w:val="center"/>
          </w:tcPr>
          <w:p w14:paraId="3C9859C1">
            <w:pPr>
              <w:jc w:val="center"/>
              <w:rPr>
                <w:color w:val="auto"/>
                <w:szCs w:val="21"/>
              </w:rPr>
            </w:pPr>
            <w:r>
              <w:rPr>
                <w:rFonts w:hint="eastAsia"/>
                <w:color w:val="auto"/>
                <w:szCs w:val="21"/>
              </w:rPr>
              <w:t>0.481</w:t>
            </w:r>
          </w:p>
        </w:tc>
        <w:tc>
          <w:tcPr>
            <w:tcW w:w="852" w:type="dxa"/>
            <w:vAlign w:val="center"/>
          </w:tcPr>
          <w:p w14:paraId="143C8E04">
            <w:pPr>
              <w:jc w:val="center"/>
              <w:rPr>
                <w:color w:val="auto"/>
                <w:szCs w:val="21"/>
              </w:rPr>
            </w:pPr>
            <w:r>
              <w:rPr>
                <w:rFonts w:hint="eastAsia"/>
                <w:color w:val="auto"/>
                <w:szCs w:val="21"/>
              </w:rPr>
              <w:t>0.487</w:t>
            </w:r>
          </w:p>
        </w:tc>
        <w:tc>
          <w:tcPr>
            <w:tcW w:w="852" w:type="dxa"/>
            <w:vAlign w:val="center"/>
          </w:tcPr>
          <w:p w14:paraId="324B214C">
            <w:pPr>
              <w:jc w:val="center"/>
              <w:rPr>
                <w:color w:val="auto"/>
                <w:szCs w:val="21"/>
              </w:rPr>
            </w:pPr>
            <w:r>
              <w:rPr>
                <w:rFonts w:hint="eastAsia"/>
                <w:color w:val="auto"/>
                <w:szCs w:val="21"/>
              </w:rPr>
              <w:t>0.485</w:t>
            </w:r>
          </w:p>
        </w:tc>
        <w:tc>
          <w:tcPr>
            <w:tcW w:w="900" w:type="dxa"/>
            <w:vAlign w:val="center"/>
          </w:tcPr>
          <w:p w14:paraId="4037CE80">
            <w:pPr>
              <w:jc w:val="center"/>
              <w:rPr>
                <w:color w:val="auto"/>
                <w:szCs w:val="21"/>
              </w:rPr>
            </w:pPr>
            <w:r>
              <w:rPr>
                <w:rFonts w:hint="eastAsia"/>
                <w:color w:val="auto"/>
                <w:szCs w:val="21"/>
              </w:rPr>
              <w:t>0.476</w:t>
            </w:r>
          </w:p>
        </w:tc>
        <w:tc>
          <w:tcPr>
            <w:tcW w:w="900" w:type="dxa"/>
            <w:vAlign w:val="center"/>
          </w:tcPr>
          <w:p w14:paraId="24B4F782">
            <w:pPr>
              <w:jc w:val="center"/>
              <w:rPr>
                <w:color w:val="auto"/>
                <w:szCs w:val="21"/>
              </w:rPr>
            </w:pPr>
            <w:r>
              <w:rPr>
                <w:rFonts w:hint="eastAsia"/>
                <w:color w:val="auto"/>
                <w:szCs w:val="21"/>
              </w:rPr>
              <w:t>96.3</w:t>
            </w:r>
          </w:p>
        </w:tc>
      </w:tr>
      <w:tr w14:paraId="751A0AA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153" w:type="dxa"/>
            <w:vMerge w:val="continue"/>
            <w:vAlign w:val="center"/>
          </w:tcPr>
          <w:p w14:paraId="2C7F6AF1">
            <w:pPr>
              <w:pStyle w:val="19"/>
              <w:spacing w:line="460" w:lineRule="exact"/>
              <w:jc w:val="center"/>
              <w:rPr>
                <w:rFonts w:ascii="Times New Roman" w:hAnsi="Times New Roman" w:eastAsia="仿宋" w:cs="Times New Roman"/>
                <w:color w:val="auto"/>
                <w:kern w:val="2"/>
                <w:sz w:val="21"/>
                <w:szCs w:val="21"/>
              </w:rPr>
            </w:pPr>
          </w:p>
        </w:tc>
        <w:tc>
          <w:tcPr>
            <w:tcW w:w="1116" w:type="dxa"/>
            <w:vAlign w:val="center"/>
          </w:tcPr>
          <w:p w14:paraId="2CA35AEE">
            <w:pPr>
              <w:jc w:val="center"/>
              <w:rPr>
                <w:color w:val="auto"/>
                <w:szCs w:val="21"/>
              </w:rPr>
            </w:pPr>
            <w:r>
              <w:rPr>
                <w:rFonts w:hint="eastAsia"/>
                <w:color w:val="auto"/>
                <w:szCs w:val="21"/>
              </w:rPr>
              <w:t>0.75</w:t>
            </w:r>
          </w:p>
        </w:tc>
        <w:tc>
          <w:tcPr>
            <w:tcW w:w="864" w:type="dxa"/>
            <w:vAlign w:val="center"/>
          </w:tcPr>
          <w:p w14:paraId="705EC6C5">
            <w:pPr>
              <w:jc w:val="center"/>
              <w:rPr>
                <w:color w:val="auto"/>
                <w:szCs w:val="21"/>
              </w:rPr>
            </w:pPr>
            <w:r>
              <w:rPr>
                <w:rFonts w:hint="eastAsia"/>
                <w:color w:val="auto"/>
                <w:szCs w:val="21"/>
              </w:rPr>
              <w:t>0.722</w:t>
            </w:r>
          </w:p>
        </w:tc>
        <w:tc>
          <w:tcPr>
            <w:tcW w:w="864" w:type="dxa"/>
            <w:vAlign w:val="center"/>
          </w:tcPr>
          <w:p w14:paraId="329F94C3">
            <w:pPr>
              <w:jc w:val="center"/>
              <w:rPr>
                <w:color w:val="auto"/>
                <w:szCs w:val="21"/>
              </w:rPr>
            </w:pPr>
            <w:r>
              <w:rPr>
                <w:rFonts w:hint="eastAsia"/>
                <w:color w:val="auto"/>
                <w:szCs w:val="21"/>
              </w:rPr>
              <w:t>0.719</w:t>
            </w:r>
          </w:p>
        </w:tc>
        <w:tc>
          <w:tcPr>
            <w:tcW w:w="840" w:type="dxa"/>
            <w:vAlign w:val="center"/>
          </w:tcPr>
          <w:p w14:paraId="37B89D12">
            <w:pPr>
              <w:jc w:val="center"/>
              <w:rPr>
                <w:color w:val="auto"/>
                <w:szCs w:val="21"/>
              </w:rPr>
            </w:pPr>
            <w:r>
              <w:rPr>
                <w:rFonts w:hint="eastAsia"/>
                <w:color w:val="auto"/>
                <w:szCs w:val="21"/>
              </w:rPr>
              <w:t>0.732</w:t>
            </w:r>
          </w:p>
        </w:tc>
        <w:tc>
          <w:tcPr>
            <w:tcW w:w="852" w:type="dxa"/>
            <w:vAlign w:val="center"/>
          </w:tcPr>
          <w:p w14:paraId="44AEB511">
            <w:pPr>
              <w:jc w:val="center"/>
              <w:rPr>
                <w:color w:val="auto"/>
                <w:szCs w:val="21"/>
              </w:rPr>
            </w:pPr>
            <w:r>
              <w:rPr>
                <w:rFonts w:hint="eastAsia"/>
                <w:color w:val="auto"/>
                <w:szCs w:val="21"/>
              </w:rPr>
              <w:t>0.720</w:t>
            </w:r>
          </w:p>
        </w:tc>
        <w:tc>
          <w:tcPr>
            <w:tcW w:w="852" w:type="dxa"/>
            <w:vAlign w:val="center"/>
          </w:tcPr>
          <w:p w14:paraId="4CF0F121">
            <w:pPr>
              <w:jc w:val="center"/>
              <w:rPr>
                <w:color w:val="auto"/>
                <w:szCs w:val="21"/>
              </w:rPr>
            </w:pPr>
            <w:r>
              <w:rPr>
                <w:rFonts w:hint="eastAsia"/>
                <w:color w:val="auto"/>
                <w:szCs w:val="21"/>
              </w:rPr>
              <w:t>0.710</w:t>
            </w:r>
          </w:p>
        </w:tc>
        <w:tc>
          <w:tcPr>
            <w:tcW w:w="900" w:type="dxa"/>
            <w:vAlign w:val="center"/>
          </w:tcPr>
          <w:p w14:paraId="26186843">
            <w:pPr>
              <w:jc w:val="center"/>
              <w:rPr>
                <w:color w:val="auto"/>
                <w:szCs w:val="21"/>
              </w:rPr>
            </w:pPr>
            <w:r>
              <w:rPr>
                <w:rFonts w:hint="eastAsia"/>
                <w:color w:val="auto"/>
                <w:szCs w:val="21"/>
              </w:rPr>
              <w:t>0.715</w:t>
            </w:r>
          </w:p>
        </w:tc>
        <w:tc>
          <w:tcPr>
            <w:tcW w:w="900" w:type="dxa"/>
            <w:vAlign w:val="center"/>
          </w:tcPr>
          <w:p w14:paraId="2D55EC37">
            <w:pPr>
              <w:jc w:val="center"/>
              <w:rPr>
                <w:color w:val="auto"/>
                <w:szCs w:val="21"/>
              </w:rPr>
            </w:pPr>
            <w:r>
              <w:rPr>
                <w:rFonts w:hint="eastAsia"/>
                <w:color w:val="auto"/>
                <w:szCs w:val="21"/>
              </w:rPr>
              <w:t>96.0</w:t>
            </w:r>
          </w:p>
        </w:tc>
      </w:tr>
    </w:tbl>
    <w:p w14:paraId="3339A003">
      <w:pPr>
        <w:pStyle w:val="2"/>
        <w:numPr>
          <w:ilvl w:val="0"/>
          <w:numId w:val="10"/>
        </w:numPr>
        <w:spacing w:before="156" w:beforeLines="50" w:after="0" w:line="500" w:lineRule="exact"/>
        <w:ind w:firstLine="640" w:firstLineChars="200"/>
        <w:rPr>
          <w:rFonts w:hint="eastAsia" w:ascii="Times New Roman" w:hAnsi="Times New Roman" w:eastAsia="黑体" w:cs="Times New Roman"/>
          <w:b w:val="0"/>
          <w:bCs w:val="0"/>
          <w:color w:val="auto"/>
          <w:kern w:val="2"/>
          <w:sz w:val="32"/>
          <w:szCs w:val="32"/>
          <w:lang w:val="en-US" w:eastAsia="zh-CN"/>
        </w:rPr>
      </w:pPr>
      <w:r>
        <w:rPr>
          <w:rFonts w:hint="eastAsia" w:ascii="Times New Roman" w:hAnsi="Times New Roman" w:eastAsia="黑体" w:cs="Times New Roman"/>
          <w:b w:val="0"/>
          <w:bCs w:val="0"/>
          <w:color w:val="auto"/>
          <w:kern w:val="2"/>
          <w:sz w:val="32"/>
          <w:szCs w:val="32"/>
          <w:lang w:val="en-US" w:eastAsia="zh-CN"/>
        </w:rPr>
        <w:t>职业接触限值建议</w:t>
      </w:r>
    </w:p>
    <w:p w14:paraId="7183C604">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eastAsia="仿宋" w:cs="Times New Roman"/>
          <w:color w:val="auto"/>
          <w:kern w:val="2"/>
          <w:sz w:val="28"/>
          <w:szCs w:val="28"/>
          <w:lang w:val="en-US" w:eastAsia="zh-CN" w:bidi="ar-SA"/>
        </w:rPr>
      </w:pPr>
      <w:r>
        <w:rPr>
          <w:rFonts w:hint="eastAsia" w:eastAsia="仿宋" w:cs="Times New Roman"/>
          <w:color w:val="auto"/>
          <w:kern w:val="2"/>
          <w:sz w:val="28"/>
          <w:szCs w:val="28"/>
          <w:shd w:val="clear" w:color="auto" w:fill="auto"/>
          <w:lang w:val="en-US" w:eastAsia="zh-CN" w:bidi="ar-SA"/>
        </w:rPr>
        <w:t>欧洲食品安全局发布一份2012年关于食品中农药残留的报告，报告中显示，</w:t>
      </w:r>
      <w:r>
        <w:rPr>
          <w:rFonts w:ascii="Times New Roman" w:hAnsi="Times New Roman" w:eastAsia="仿宋" w:cs="Times New Roman"/>
          <w:color w:val="auto"/>
          <w:kern w:val="2"/>
          <w:sz w:val="28"/>
          <w:szCs w:val="28"/>
          <w:shd w:val="clear" w:color="auto" w:fill="auto"/>
          <w:lang w:val="en-US" w:eastAsia="zh-CN" w:bidi="ar-SA"/>
        </w:rPr>
        <w:t>根</w:t>
      </w:r>
      <w:r>
        <w:rPr>
          <w:rFonts w:ascii="Times New Roman" w:hAnsi="Times New Roman" w:eastAsia="仿宋" w:cs="Times New Roman"/>
          <w:color w:val="auto"/>
          <w:kern w:val="2"/>
          <w:sz w:val="28"/>
          <w:szCs w:val="28"/>
          <w:lang w:val="en-US" w:eastAsia="zh-CN" w:bidi="ar-SA"/>
        </w:rPr>
        <w:t>据草铵膦动物研究资料，</w:t>
      </w:r>
      <w:r>
        <w:rPr>
          <w:rFonts w:hint="eastAsia" w:eastAsia="仿宋" w:cs="Times New Roman"/>
          <w:color w:val="auto"/>
          <w:kern w:val="2"/>
          <w:sz w:val="28"/>
          <w:szCs w:val="28"/>
          <w:lang w:val="en-US" w:eastAsia="zh-CN" w:bidi="ar-SA"/>
        </w:rPr>
        <w:t>吸入暴露</w:t>
      </w:r>
      <w:r>
        <w:rPr>
          <w:rFonts w:ascii="Times New Roman" w:hAnsi="Times New Roman" w:eastAsia="仿宋" w:cs="Times New Roman"/>
          <w:color w:val="auto"/>
          <w:kern w:val="2"/>
          <w:sz w:val="28"/>
          <w:szCs w:val="28"/>
          <w:lang w:val="en-US" w:eastAsia="zh-CN" w:bidi="ar-SA"/>
        </w:rPr>
        <w:t>NOAE</w:t>
      </w:r>
      <w:r>
        <w:rPr>
          <w:rFonts w:hint="eastAsia" w:eastAsia="仿宋" w:cs="Times New Roman"/>
          <w:color w:val="auto"/>
          <w:kern w:val="2"/>
          <w:sz w:val="28"/>
          <w:szCs w:val="28"/>
          <w:lang w:val="en-US" w:eastAsia="zh-CN" w:bidi="ar-SA"/>
        </w:rPr>
        <w:t>C值为0.012 mg/L，即12 mg/m</w:t>
      </w:r>
      <w:r>
        <w:rPr>
          <w:rFonts w:hint="eastAsia" w:eastAsia="仿宋" w:cs="Times New Roman"/>
          <w:color w:val="auto"/>
          <w:kern w:val="2"/>
          <w:sz w:val="28"/>
          <w:szCs w:val="28"/>
          <w:vertAlign w:val="superscript"/>
          <w:lang w:val="en-US" w:eastAsia="zh-CN" w:bidi="ar-SA"/>
        </w:rPr>
        <w:t>3</w:t>
      </w:r>
      <w:r>
        <w:rPr>
          <w:rFonts w:hint="eastAsia" w:eastAsia="仿宋" w:cs="Times New Roman"/>
          <w:color w:val="auto"/>
          <w:kern w:val="2"/>
          <w:sz w:val="28"/>
          <w:szCs w:val="28"/>
          <w:lang w:val="en-US" w:eastAsia="zh-CN" w:bidi="ar-SA"/>
        </w:rPr>
        <w:t>，</w:t>
      </w:r>
      <w:r>
        <w:rPr>
          <w:rFonts w:eastAsia="仿宋"/>
          <w:color w:val="auto"/>
          <w:sz w:val="28"/>
          <w:szCs w:val="28"/>
        </w:rPr>
        <w:t>安全系数的取值由动物实验资料外推至人的不确定因素100</w:t>
      </w:r>
      <w:r>
        <w:rPr>
          <w:rFonts w:hint="eastAsia" w:eastAsia="仿宋"/>
          <w:color w:val="auto"/>
          <w:sz w:val="28"/>
          <w:szCs w:val="28"/>
          <w:lang w:eastAsia="zh-CN"/>
        </w:rPr>
        <w:t>，</w:t>
      </w:r>
      <w:r>
        <w:rPr>
          <w:rFonts w:ascii="Times New Roman" w:hAnsi="Times New Roman" w:eastAsia="仿宋" w:cs="Times New Roman"/>
          <w:color w:val="auto"/>
          <w:kern w:val="2"/>
          <w:sz w:val="28"/>
          <w:szCs w:val="28"/>
          <w:lang w:val="en-US" w:eastAsia="zh-CN" w:bidi="ar-SA"/>
        </w:rPr>
        <w:t>计算的草铵膦职业接触限值为0.</w:t>
      </w:r>
      <w:r>
        <w:rPr>
          <w:rFonts w:hint="eastAsia" w:eastAsia="仿宋" w:cs="Times New Roman"/>
          <w:color w:val="auto"/>
          <w:kern w:val="2"/>
          <w:sz w:val="28"/>
          <w:szCs w:val="28"/>
          <w:lang w:val="en-US" w:eastAsia="zh-CN" w:bidi="ar-SA"/>
        </w:rPr>
        <w:t>12</w:t>
      </w:r>
      <w:r>
        <w:rPr>
          <w:rFonts w:ascii="Times New Roman" w:hAnsi="Times New Roman" w:eastAsia="仿宋" w:cs="Times New Roman"/>
          <w:color w:val="auto"/>
          <w:kern w:val="2"/>
          <w:sz w:val="28"/>
          <w:szCs w:val="28"/>
          <w:lang w:val="en-US" w:eastAsia="zh-CN" w:bidi="ar-SA"/>
        </w:rPr>
        <w:t xml:space="preserve"> mg/m</w:t>
      </w:r>
      <w:r>
        <w:rPr>
          <w:rFonts w:ascii="Times New Roman" w:hAnsi="Times New Roman" w:eastAsia="仿宋" w:cs="Times New Roman"/>
          <w:color w:val="auto"/>
          <w:kern w:val="2"/>
          <w:sz w:val="28"/>
          <w:szCs w:val="28"/>
          <w:vertAlign w:val="superscript"/>
          <w:lang w:val="en-US" w:eastAsia="zh-CN" w:bidi="ar-SA"/>
        </w:rPr>
        <w:t>3</w:t>
      </w:r>
      <w:r>
        <w:rPr>
          <w:rFonts w:ascii="Times New Roman" w:hAnsi="Times New Roman" w:eastAsia="仿宋" w:cs="Times New Roman"/>
          <w:color w:val="auto"/>
          <w:kern w:val="2"/>
          <w:sz w:val="28"/>
          <w:szCs w:val="28"/>
          <w:lang w:val="en-US" w:eastAsia="zh-CN" w:bidi="ar-SA"/>
        </w:rPr>
        <w:t>。</w:t>
      </w:r>
    </w:p>
    <w:p w14:paraId="05ECA7D3">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default" w:ascii="Times New Roman" w:hAnsi="Times New Roman" w:eastAsia="仿宋" w:cs="Times New Roman"/>
          <w:color w:val="auto"/>
          <w:kern w:val="2"/>
          <w:sz w:val="28"/>
          <w:szCs w:val="28"/>
          <w:lang w:val="en-US" w:eastAsia="zh-CN" w:bidi="ar-SA"/>
        </w:rPr>
      </w:pPr>
      <w:r>
        <w:rPr>
          <w:rFonts w:hint="eastAsia" w:eastAsia="仿宋" w:cs="Times New Roman"/>
          <w:color w:val="auto"/>
          <w:kern w:val="2"/>
          <w:sz w:val="28"/>
          <w:szCs w:val="28"/>
          <w:lang w:val="en-US" w:eastAsia="zh-CN" w:bidi="ar-SA"/>
        </w:rPr>
        <w:t>草铵膦的毒性主要源于其结构与谷氨酸的相似性，在代谢过程中，可以占据谷氨酸的酶结合位点，导致代谢紊乱，进而引发神经毒性。这种神经毒性机制使草铵膦在动物和人体内能够抑制谷氨酰胺合成酶，影响氮代谢，导致铵过量累计，最终引发神经系统功能紊乱。</w:t>
      </w:r>
      <w:r>
        <w:rPr>
          <w:rFonts w:hint="eastAsia" w:eastAsia="仿宋" w:cs="Times New Roman"/>
          <w:color w:val="auto"/>
          <w:kern w:val="2"/>
          <w:sz w:val="28"/>
          <w:szCs w:val="28"/>
          <w:lang w:val="en-US" w:eastAsia="zh-CN" w:bidi="ar-SA"/>
        </w:rPr>
        <w:t>动物神经毒性</w:t>
      </w:r>
      <w:r>
        <w:rPr>
          <w:rFonts w:ascii="Times New Roman" w:hAnsi="Times New Roman" w:eastAsia="仿宋" w:cs="Times New Roman"/>
          <w:color w:val="auto"/>
          <w:kern w:val="2"/>
          <w:sz w:val="28"/>
          <w:szCs w:val="28"/>
          <w:lang w:val="en-US" w:eastAsia="zh-CN" w:bidi="ar-SA"/>
        </w:rPr>
        <w:t>NOAEL值为</w:t>
      </w:r>
      <w:r>
        <w:rPr>
          <w:rFonts w:hint="eastAsia" w:eastAsia="仿宋" w:cs="Times New Roman"/>
          <w:color w:val="auto"/>
          <w:kern w:val="2"/>
          <w:sz w:val="28"/>
          <w:szCs w:val="28"/>
          <w:lang w:val="en-US" w:eastAsia="zh-CN" w:bidi="ar-SA"/>
        </w:rPr>
        <w:t>18</w:t>
      </w:r>
      <w:r>
        <w:rPr>
          <w:rFonts w:ascii="Times New Roman" w:hAnsi="Times New Roman" w:eastAsia="仿宋" w:cs="Times New Roman"/>
          <w:color w:val="auto"/>
          <w:kern w:val="2"/>
          <w:sz w:val="28"/>
          <w:szCs w:val="28"/>
          <w:lang w:val="en-US" w:eastAsia="zh-CN" w:bidi="ar-SA"/>
        </w:rPr>
        <w:t xml:space="preserve"> mg/kg/d，根据美国OEL计算公式：OEL=（NOAEL*BW）/（SF*BR），其中BW为成人体重，取</w:t>
      </w:r>
      <w:r>
        <w:rPr>
          <w:rFonts w:hint="eastAsia" w:eastAsia="仿宋" w:cs="Times New Roman"/>
          <w:color w:val="auto"/>
          <w:kern w:val="2"/>
          <w:sz w:val="28"/>
          <w:szCs w:val="28"/>
          <w:lang w:val="en-US" w:eastAsia="zh-CN" w:bidi="ar-SA"/>
        </w:rPr>
        <w:t>70</w:t>
      </w:r>
      <w:r>
        <w:rPr>
          <w:rFonts w:ascii="Times New Roman" w:hAnsi="Times New Roman" w:eastAsia="仿宋" w:cs="Times New Roman"/>
          <w:color w:val="auto"/>
          <w:kern w:val="2"/>
          <w:sz w:val="28"/>
          <w:szCs w:val="28"/>
          <w:lang w:val="en-US" w:eastAsia="zh-CN" w:bidi="ar-SA"/>
        </w:rPr>
        <w:t xml:space="preserve"> kg，SF为安全系数，</w:t>
      </w:r>
      <w:r>
        <w:rPr>
          <w:rFonts w:eastAsia="仿宋"/>
          <w:color w:val="auto"/>
          <w:sz w:val="28"/>
          <w:szCs w:val="28"/>
        </w:rPr>
        <w:t>安全系数的取值由动物实验资料外推至人的不确定因素100</w:t>
      </w:r>
      <w:r>
        <w:rPr>
          <w:rFonts w:hint="eastAsia" w:eastAsia="仿宋"/>
          <w:color w:val="auto"/>
          <w:sz w:val="28"/>
          <w:szCs w:val="28"/>
          <w:lang w:eastAsia="zh-CN"/>
        </w:rPr>
        <w:t>，</w:t>
      </w:r>
      <w:r>
        <w:rPr>
          <w:rFonts w:eastAsia="仿宋"/>
          <w:color w:val="auto"/>
          <w:sz w:val="28"/>
          <w:szCs w:val="28"/>
        </w:rPr>
        <w:t>考虑到吸入和口服的差异，因此不同途径进入体内的校正因子取</w:t>
      </w:r>
      <w:r>
        <w:rPr>
          <w:rFonts w:hint="eastAsia" w:eastAsia="仿宋"/>
          <w:color w:val="auto"/>
          <w:sz w:val="28"/>
          <w:szCs w:val="28"/>
          <w:lang w:val="en-US" w:eastAsia="zh-CN"/>
        </w:rPr>
        <w:t>10，</w:t>
      </w:r>
      <w:r>
        <w:rPr>
          <w:rFonts w:eastAsia="仿宋"/>
          <w:color w:val="auto"/>
          <w:sz w:val="28"/>
          <w:szCs w:val="28"/>
        </w:rPr>
        <w:t>综合起来安全系数取</w:t>
      </w:r>
      <w:r>
        <w:rPr>
          <w:rFonts w:hint="eastAsia" w:eastAsia="仿宋"/>
          <w:color w:val="auto"/>
          <w:sz w:val="28"/>
          <w:szCs w:val="28"/>
          <w:lang w:val="en-US" w:eastAsia="zh-CN"/>
        </w:rPr>
        <w:t>10</w:t>
      </w:r>
      <w:r>
        <w:rPr>
          <w:rFonts w:eastAsia="仿宋"/>
          <w:color w:val="auto"/>
          <w:sz w:val="28"/>
          <w:szCs w:val="28"/>
        </w:rPr>
        <w:t>00</w:t>
      </w:r>
      <w:r>
        <w:rPr>
          <w:rFonts w:ascii="Times New Roman" w:hAnsi="Times New Roman" w:eastAsia="仿宋" w:cs="Times New Roman"/>
          <w:color w:val="auto"/>
          <w:kern w:val="2"/>
          <w:sz w:val="28"/>
          <w:szCs w:val="28"/>
          <w:lang w:val="en-US" w:eastAsia="zh-CN" w:bidi="ar-SA"/>
        </w:rPr>
        <w:t>。BR为成人8小时呼吸量，一般取10 m</w:t>
      </w:r>
      <w:r>
        <w:rPr>
          <w:rFonts w:ascii="Times New Roman" w:hAnsi="Times New Roman" w:eastAsia="仿宋" w:cs="Times New Roman"/>
          <w:color w:val="auto"/>
          <w:kern w:val="2"/>
          <w:sz w:val="28"/>
          <w:szCs w:val="28"/>
          <w:vertAlign w:val="superscript"/>
          <w:lang w:val="en-US" w:eastAsia="zh-CN" w:bidi="ar-SA"/>
        </w:rPr>
        <w:t>3</w:t>
      </w:r>
      <w:r>
        <w:rPr>
          <w:rFonts w:ascii="Times New Roman" w:hAnsi="Times New Roman" w:eastAsia="仿宋" w:cs="Times New Roman"/>
          <w:color w:val="auto"/>
          <w:kern w:val="2"/>
          <w:sz w:val="28"/>
          <w:szCs w:val="28"/>
          <w:lang w:val="en-US" w:eastAsia="zh-CN" w:bidi="ar-SA"/>
        </w:rPr>
        <w:t>。将数据带入计算公式，计算的草铵膦职业接触限值为0.</w:t>
      </w:r>
      <w:r>
        <w:rPr>
          <w:rFonts w:hint="eastAsia" w:eastAsia="仿宋" w:cs="Times New Roman"/>
          <w:color w:val="auto"/>
          <w:kern w:val="2"/>
          <w:sz w:val="28"/>
          <w:szCs w:val="28"/>
          <w:lang w:val="en-US" w:eastAsia="zh-CN" w:bidi="ar-SA"/>
        </w:rPr>
        <w:t>126</w:t>
      </w:r>
      <w:r>
        <w:rPr>
          <w:rFonts w:ascii="Times New Roman" w:hAnsi="Times New Roman" w:eastAsia="仿宋" w:cs="Times New Roman"/>
          <w:color w:val="auto"/>
          <w:kern w:val="2"/>
          <w:sz w:val="28"/>
          <w:szCs w:val="28"/>
          <w:lang w:val="en-US" w:eastAsia="zh-CN" w:bidi="ar-SA"/>
        </w:rPr>
        <w:t xml:space="preserve"> mg/m</w:t>
      </w:r>
      <w:r>
        <w:rPr>
          <w:rFonts w:ascii="Times New Roman" w:hAnsi="Times New Roman" w:eastAsia="仿宋" w:cs="Times New Roman"/>
          <w:color w:val="auto"/>
          <w:kern w:val="2"/>
          <w:sz w:val="28"/>
          <w:szCs w:val="28"/>
          <w:vertAlign w:val="superscript"/>
          <w:lang w:val="en-US" w:eastAsia="zh-CN" w:bidi="ar-SA"/>
        </w:rPr>
        <w:t>3</w:t>
      </w:r>
      <w:r>
        <w:rPr>
          <w:rFonts w:hint="eastAsia" w:eastAsia="仿宋" w:cs="Times New Roman"/>
          <w:color w:val="auto"/>
          <w:kern w:val="2"/>
          <w:sz w:val="28"/>
          <w:szCs w:val="28"/>
          <w:lang w:val="en-US" w:eastAsia="zh-CN" w:bidi="ar-SA"/>
        </w:rPr>
        <w:t>，</w:t>
      </w:r>
      <w:r>
        <w:rPr>
          <w:rFonts w:ascii="Times New Roman" w:hAnsi="Times New Roman" w:eastAsia="仿宋" w:cs="Times New Roman"/>
          <w:color w:val="auto"/>
          <w:kern w:val="2"/>
          <w:sz w:val="28"/>
          <w:szCs w:val="28"/>
          <w:lang w:val="en-US" w:eastAsia="zh-CN" w:bidi="ar-SA"/>
        </w:rPr>
        <w:t>该值与计算</w:t>
      </w:r>
      <w:r>
        <w:rPr>
          <w:rFonts w:hint="eastAsia" w:eastAsia="仿宋" w:cs="Times New Roman"/>
          <w:color w:val="auto"/>
          <w:kern w:val="2"/>
          <w:sz w:val="28"/>
          <w:szCs w:val="28"/>
          <w:lang w:val="en-US" w:eastAsia="zh-CN" w:bidi="ar-SA"/>
        </w:rPr>
        <w:t>与经呼吸道吸入职业接触限</w:t>
      </w:r>
      <w:r>
        <w:rPr>
          <w:rFonts w:ascii="Times New Roman" w:hAnsi="Times New Roman" w:eastAsia="仿宋" w:cs="Times New Roman"/>
          <w:color w:val="auto"/>
          <w:kern w:val="2"/>
          <w:sz w:val="28"/>
          <w:szCs w:val="28"/>
          <w:lang w:val="en-US" w:eastAsia="zh-CN" w:bidi="ar-SA"/>
        </w:rPr>
        <w:t>值</w:t>
      </w:r>
      <w:r>
        <w:rPr>
          <w:rFonts w:hint="eastAsia" w:ascii="Times New Roman" w:hAnsi="Times New Roman" w:eastAsia="仿宋" w:cs="Times New Roman"/>
          <w:color w:val="auto"/>
          <w:kern w:val="2"/>
          <w:sz w:val="28"/>
          <w:szCs w:val="28"/>
          <w:lang w:val="en-US" w:eastAsia="zh-CN" w:bidi="ar-SA"/>
        </w:rPr>
        <w:t>相</w:t>
      </w:r>
      <w:r>
        <w:rPr>
          <w:rFonts w:hint="eastAsia" w:eastAsia="仿宋" w:cs="Times New Roman"/>
          <w:color w:val="auto"/>
          <w:kern w:val="2"/>
          <w:sz w:val="28"/>
          <w:szCs w:val="28"/>
          <w:lang w:val="en-US" w:eastAsia="zh-CN" w:bidi="ar-SA"/>
        </w:rPr>
        <w:t>近</w:t>
      </w:r>
      <w:r>
        <w:rPr>
          <w:rFonts w:ascii="Times New Roman" w:hAnsi="Times New Roman" w:eastAsia="仿宋" w:cs="Times New Roman"/>
          <w:color w:val="auto"/>
          <w:kern w:val="2"/>
          <w:sz w:val="28"/>
          <w:szCs w:val="28"/>
          <w:lang w:val="en-US" w:eastAsia="zh-CN" w:bidi="ar-SA"/>
        </w:rPr>
        <w:t>。</w:t>
      </w:r>
      <w:r>
        <w:rPr>
          <w:rFonts w:hint="eastAsia" w:eastAsia="仿宋" w:cs="Times New Roman"/>
          <w:color w:val="auto"/>
          <w:kern w:val="2"/>
          <w:sz w:val="28"/>
          <w:szCs w:val="28"/>
          <w:lang w:val="en-US" w:eastAsia="zh-CN" w:bidi="ar-SA"/>
        </w:rPr>
        <w:t>因为人群暴中暴露方式主要为吸入暴露，采用</w:t>
      </w:r>
      <w:r>
        <w:rPr>
          <w:rFonts w:ascii="Times New Roman" w:hAnsi="Times New Roman" w:eastAsia="仿宋" w:cs="Times New Roman"/>
          <w:color w:val="auto"/>
          <w:kern w:val="2"/>
          <w:sz w:val="28"/>
          <w:szCs w:val="28"/>
          <w:lang w:val="en-US" w:eastAsia="zh-CN" w:bidi="ar-SA"/>
        </w:rPr>
        <w:t>NOAE</w:t>
      </w:r>
      <w:r>
        <w:rPr>
          <w:rFonts w:hint="eastAsia" w:eastAsia="仿宋" w:cs="Times New Roman"/>
          <w:color w:val="auto"/>
          <w:kern w:val="2"/>
          <w:sz w:val="28"/>
          <w:szCs w:val="28"/>
          <w:lang w:val="en-US" w:eastAsia="zh-CN" w:bidi="ar-SA"/>
        </w:rPr>
        <w:t>C值计算与人群接触方式较为一致，因此</w:t>
      </w:r>
      <w:r>
        <w:rPr>
          <w:rFonts w:ascii="Times New Roman" w:hAnsi="Times New Roman" w:eastAsia="仿宋" w:cs="Times New Roman"/>
          <w:color w:val="auto"/>
          <w:kern w:val="2"/>
          <w:sz w:val="28"/>
          <w:szCs w:val="28"/>
          <w:lang w:val="en-US" w:eastAsia="zh-CN" w:bidi="ar-SA"/>
        </w:rPr>
        <w:t>草铵膦职业接触限值</w:t>
      </w:r>
      <w:r>
        <w:rPr>
          <w:rFonts w:hint="eastAsia" w:eastAsia="仿宋" w:cs="Times New Roman"/>
          <w:color w:val="auto"/>
          <w:kern w:val="2"/>
          <w:sz w:val="28"/>
          <w:szCs w:val="28"/>
          <w:lang w:val="en-US" w:eastAsia="zh-CN" w:bidi="ar-SA"/>
        </w:rPr>
        <w:t>建议</w:t>
      </w:r>
      <w:r>
        <w:rPr>
          <w:rFonts w:ascii="Times New Roman" w:hAnsi="Times New Roman" w:eastAsia="仿宋" w:cs="Times New Roman"/>
          <w:color w:val="auto"/>
          <w:kern w:val="2"/>
          <w:sz w:val="28"/>
          <w:szCs w:val="28"/>
          <w:lang w:val="en-US" w:eastAsia="zh-CN" w:bidi="ar-SA"/>
        </w:rPr>
        <w:t>为0.</w:t>
      </w:r>
      <w:r>
        <w:rPr>
          <w:rFonts w:hint="eastAsia" w:eastAsia="仿宋" w:cs="Times New Roman"/>
          <w:color w:val="auto"/>
          <w:kern w:val="2"/>
          <w:sz w:val="28"/>
          <w:szCs w:val="28"/>
          <w:lang w:val="en-US" w:eastAsia="zh-CN" w:bidi="ar-SA"/>
        </w:rPr>
        <w:t>12</w:t>
      </w:r>
      <w:r>
        <w:rPr>
          <w:rFonts w:ascii="Times New Roman" w:hAnsi="Times New Roman" w:eastAsia="仿宋" w:cs="Times New Roman"/>
          <w:color w:val="auto"/>
          <w:kern w:val="2"/>
          <w:sz w:val="28"/>
          <w:szCs w:val="28"/>
          <w:lang w:val="en-US" w:eastAsia="zh-CN" w:bidi="ar-SA"/>
        </w:rPr>
        <w:t xml:space="preserve"> mg/m</w:t>
      </w:r>
      <w:r>
        <w:rPr>
          <w:rFonts w:ascii="Times New Roman" w:hAnsi="Times New Roman" w:eastAsia="仿宋" w:cs="Times New Roman"/>
          <w:color w:val="auto"/>
          <w:kern w:val="2"/>
          <w:sz w:val="28"/>
          <w:szCs w:val="28"/>
          <w:vertAlign w:val="superscript"/>
          <w:lang w:val="en-US" w:eastAsia="zh-CN" w:bidi="ar-SA"/>
        </w:rPr>
        <w:t>3</w:t>
      </w:r>
    </w:p>
    <w:p w14:paraId="1091DC2A">
      <w:pPr>
        <w:shd w:val="clear" w:color="auto" w:fill="FFFFFF"/>
        <w:tabs>
          <w:tab w:val="left" w:pos="1711"/>
        </w:tabs>
        <w:spacing w:line="460" w:lineRule="exact"/>
        <w:ind w:firstLine="640" w:firstLineChars="200"/>
        <w:rPr>
          <w:rFonts w:eastAsia="仿宋"/>
          <w:color w:val="auto"/>
          <w:sz w:val="32"/>
          <w:szCs w:val="32"/>
        </w:rPr>
      </w:pPr>
      <w:r>
        <w:rPr>
          <w:rFonts w:hint="eastAsia" w:eastAsia="仿宋"/>
          <w:color w:val="auto"/>
          <w:sz w:val="32"/>
          <w:szCs w:val="32"/>
          <w:lang w:val="en-US" w:eastAsia="zh-CN"/>
        </w:rPr>
        <w:t>9</w:t>
      </w:r>
      <w:r>
        <w:rPr>
          <w:rFonts w:hint="eastAsia" w:ascii="黑体" w:hAnsi="黑体" w:eastAsia="黑体"/>
          <w:color w:val="auto"/>
          <w:sz w:val="32"/>
          <w:szCs w:val="32"/>
        </w:rPr>
        <w:t>、</w:t>
      </w:r>
      <w:r>
        <w:rPr>
          <w:rFonts w:ascii="黑体" w:hAnsi="黑体" w:eastAsia="黑体"/>
          <w:color w:val="auto"/>
          <w:sz w:val="32"/>
          <w:szCs w:val="32"/>
        </w:rPr>
        <w:t>本建议标准的可行性</w:t>
      </w:r>
    </w:p>
    <w:p w14:paraId="7DB766EF">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ascii="Times New Roman" w:hAnsi="Times New Roman" w:eastAsia="仿宋" w:cs="Times New Roman"/>
          <w:color w:val="auto"/>
          <w:kern w:val="2"/>
          <w:sz w:val="28"/>
          <w:szCs w:val="28"/>
          <w:lang w:val="en-US" w:eastAsia="zh-CN" w:bidi="ar-SA"/>
        </w:rPr>
      </w:pPr>
      <w:r>
        <w:rPr>
          <w:rFonts w:hint="eastAsia" w:eastAsia="仿宋" w:cs="Times New Roman"/>
          <w:color w:val="auto"/>
          <w:kern w:val="2"/>
          <w:sz w:val="28"/>
          <w:szCs w:val="28"/>
          <w:lang w:val="en-US" w:eastAsia="zh-CN" w:bidi="ar-SA"/>
        </w:rPr>
        <w:t>选择江苏省内具有代表性的化工企业进行现场实验，采用定点采样的方式对草铵膦原料场地进行检测，草铵膦最高浓度为0.0021 mg/m</w:t>
      </w:r>
      <w:r>
        <w:rPr>
          <w:rFonts w:hint="eastAsia" w:eastAsia="仿宋" w:cs="Times New Roman"/>
          <w:color w:val="auto"/>
          <w:kern w:val="2"/>
          <w:sz w:val="28"/>
          <w:szCs w:val="28"/>
          <w:vertAlign w:val="superscript"/>
          <w:lang w:val="en-US" w:eastAsia="zh-CN" w:bidi="ar-SA"/>
        </w:rPr>
        <w:t>3</w:t>
      </w:r>
      <w:r>
        <w:rPr>
          <w:rFonts w:hint="eastAsia" w:eastAsia="仿宋" w:cs="Times New Roman"/>
          <w:color w:val="auto"/>
          <w:kern w:val="2"/>
          <w:sz w:val="28"/>
          <w:szCs w:val="28"/>
          <w:lang w:val="en-US" w:eastAsia="zh-CN" w:bidi="ar-SA"/>
        </w:rPr>
        <w:t>，定点检测结果范围为3.2×10</w:t>
      </w:r>
      <w:r>
        <w:rPr>
          <w:rFonts w:hint="eastAsia" w:eastAsia="仿宋" w:cs="Times New Roman"/>
          <w:color w:val="auto"/>
          <w:kern w:val="2"/>
          <w:sz w:val="28"/>
          <w:szCs w:val="28"/>
          <w:vertAlign w:val="superscript"/>
          <w:lang w:val="en-US" w:eastAsia="zh-CN" w:bidi="ar-SA"/>
        </w:rPr>
        <w:t>-4</w:t>
      </w:r>
      <w:r>
        <w:rPr>
          <w:rFonts w:hint="eastAsia" w:eastAsia="仿宋" w:cs="Times New Roman"/>
          <w:color w:val="auto"/>
          <w:kern w:val="2"/>
          <w:sz w:val="28"/>
          <w:szCs w:val="28"/>
          <w:lang w:val="en-US" w:eastAsia="zh-CN" w:bidi="ar-SA"/>
        </w:rPr>
        <w:t xml:space="preserve"> mg/m</w:t>
      </w:r>
      <w:r>
        <w:rPr>
          <w:rFonts w:hint="eastAsia" w:eastAsia="仿宋" w:cs="Times New Roman"/>
          <w:color w:val="auto"/>
          <w:kern w:val="2"/>
          <w:sz w:val="28"/>
          <w:szCs w:val="28"/>
          <w:vertAlign w:val="superscript"/>
          <w:lang w:val="en-US" w:eastAsia="zh-CN" w:bidi="ar-SA"/>
        </w:rPr>
        <w:t>3</w:t>
      </w:r>
      <w:r>
        <w:rPr>
          <w:rFonts w:hint="eastAsia" w:eastAsia="仿宋" w:cs="Times New Roman"/>
          <w:color w:val="auto"/>
          <w:kern w:val="2"/>
          <w:sz w:val="28"/>
          <w:szCs w:val="28"/>
          <w:lang w:val="en-US" w:eastAsia="zh-CN" w:bidi="ar-SA"/>
        </w:rPr>
        <w:t>~2.1×10</w:t>
      </w:r>
      <w:r>
        <w:rPr>
          <w:rFonts w:hint="eastAsia" w:eastAsia="仿宋" w:cs="Times New Roman"/>
          <w:color w:val="auto"/>
          <w:kern w:val="2"/>
          <w:sz w:val="28"/>
          <w:szCs w:val="28"/>
          <w:vertAlign w:val="superscript"/>
          <w:lang w:val="en-US" w:eastAsia="zh-CN" w:bidi="ar-SA"/>
        </w:rPr>
        <w:t>-3</w:t>
      </w:r>
      <w:r>
        <w:rPr>
          <w:rFonts w:hint="eastAsia" w:eastAsia="仿宋" w:cs="Times New Roman"/>
          <w:color w:val="auto"/>
          <w:kern w:val="2"/>
          <w:sz w:val="28"/>
          <w:szCs w:val="28"/>
          <w:lang w:val="en-US" w:eastAsia="zh-CN" w:bidi="ar-SA"/>
        </w:rPr>
        <w:t xml:space="preserve"> mg/m</w:t>
      </w:r>
      <w:r>
        <w:rPr>
          <w:rFonts w:hint="eastAsia" w:eastAsia="仿宋" w:cs="Times New Roman"/>
          <w:color w:val="auto"/>
          <w:kern w:val="2"/>
          <w:sz w:val="28"/>
          <w:szCs w:val="28"/>
          <w:vertAlign w:val="superscript"/>
          <w:lang w:val="en-US" w:eastAsia="zh-CN" w:bidi="ar-SA"/>
        </w:rPr>
        <w:t>3</w:t>
      </w:r>
      <w:r>
        <w:rPr>
          <w:rFonts w:ascii="Times New Roman" w:hAnsi="Times New Roman" w:eastAsia="仿宋" w:cs="Times New Roman"/>
          <w:color w:val="auto"/>
          <w:kern w:val="2"/>
          <w:sz w:val="28"/>
          <w:szCs w:val="28"/>
          <w:lang w:val="en-US" w:eastAsia="zh-CN" w:bidi="ar-SA"/>
        </w:rPr>
        <w:t>，所采取的控制措施基本以自然通风、密闭化、机械化生产为主。</w:t>
      </w:r>
      <w:r>
        <w:rPr>
          <w:rFonts w:hint="eastAsia" w:eastAsia="仿宋" w:cs="Times New Roman"/>
          <w:color w:val="auto"/>
          <w:kern w:val="2"/>
          <w:sz w:val="28"/>
          <w:szCs w:val="28"/>
          <w:lang w:val="en-US" w:eastAsia="zh-CN" w:bidi="ar-SA"/>
        </w:rPr>
        <w:t>因进行现场实际采样时正值草铵膦农药生产淡期，故样品测定结果多数低于检出浓度，采用液质法测定得出检测结果。</w:t>
      </w:r>
      <w:r>
        <w:rPr>
          <w:rFonts w:ascii="Times New Roman" w:hAnsi="Times New Roman" w:eastAsia="仿宋" w:cs="Times New Roman"/>
          <w:color w:val="auto"/>
          <w:kern w:val="2"/>
          <w:sz w:val="28"/>
          <w:szCs w:val="28"/>
          <w:lang w:val="en-US" w:eastAsia="zh-CN" w:bidi="ar-SA"/>
        </w:rPr>
        <w:t>目前我国</w:t>
      </w:r>
      <w:r>
        <w:rPr>
          <w:rFonts w:hint="eastAsia" w:ascii="Times New Roman" w:hAnsi="Times New Roman" w:eastAsia="仿宋" w:cs="Times New Roman"/>
          <w:color w:val="auto"/>
          <w:kern w:val="2"/>
          <w:sz w:val="28"/>
          <w:szCs w:val="28"/>
          <w:lang w:val="en-US" w:eastAsia="zh-CN" w:bidi="ar-SA"/>
        </w:rPr>
        <w:t>草铵膦</w:t>
      </w:r>
      <w:r>
        <w:rPr>
          <w:rFonts w:ascii="Times New Roman" w:hAnsi="Times New Roman" w:eastAsia="仿宋" w:cs="Times New Roman"/>
          <w:color w:val="auto"/>
          <w:kern w:val="2"/>
          <w:sz w:val="28"/>
          <w:szCs w:val="28"/>
          <w:lang w:val="en-US" w:eastAsia="zh-CN" w:bidi="ar-SA"/>
        </w:rPr>
        <w:t>生产工艺比较成熟，工程防护、个体防护、应急救援均能满足</w:t>
      </w:r>
      <w:r>
        <w:rPr>
          <w:rFonts w:hint="eastAsia" w:ascii="Times New Roman" w:hAnsi="Times New Roman" w:eastAsia="仿宋" w:cs="Times New Roman"/>
          <w:color w:val="auto"/>
          <w:kern w:val="2"/>
          <w:sz w:val="28"/>
          <w:szCs w:val="28"/>
          <w:lang w:val="en-US" w:eastAsia="zh-CN" w:bidi="ar-SA"/>
        </w:rPr>
        <w:t>相关</w:t>
      </w:r>
      <w:r>
        <w:rPr>
          <w:rFonts w:ascii="Times New Roman" w:hAnsi="Times New Roman" w:eastAsia="仿宋" w:cs="Times New Roman"/>
          <w:color w:val="auto"/>
          <w:kern w:val="2"/>
          <w:sz w:val="28"/>
          <w:szCs w:val="28"/>
          <w:lang w:val="en-US" w:eastAsia="zh-CN" w:bidi="ar-SA"/>
        </w:rPr>
        <w:t>要求，本标准实施后对于已经运行的企业如果超过规定的限值要求，也仅需采取通风、密闭等措施即可，无需大的工程改进；对于新建项目则在职业卫生“三同时”时按照GBZ</w:t>
      </w:r>
      <w:r>
        <w:rPr>
          <w:rFonts w:hint="eastAsia" w:ascii="Times New Roman" w:hAnsi="Times New Roman" w:eastAsia="仿宋" w:cs="Times New Roman"/>
          <w:color w:val="auto"/>
          <w:kern w:val="2"/>
          <w:sz w:val="28"/>
          <w:szCs w:val="28"/>
          <w:lang w:val="en-US" w:eastAsia="zh-CN" w:bidi="ar-SA"/>
        </w:rPr>
        <w:t xml:space="preserve"> </w:t>
      </w:r>
      <w:r>
        <w:rPr>
          <w:rFonts w:ascii="Times New Roman" w:hAnsi="Times New Roman" w:eastAsia="仿宋" w:cs="Times New Roman"/>
          <w:color w:val="auto"/>
          <w:kern w:val="2"/>
          <w:sz w:val="28"/>
          <w:szCs w:val="28"/>
          <w:lang w:val="en-US" w:eastAsia="zh-CN" w:bidi="ar-SA"/>
        </w:rPr>
        <w:t>1的要求开展卫生学设计，建成后参照类比的企业，工作场所空气中</w:t>
      </w:r>
      <w:r>
        <w:rPr>
          <w:rFonts w:hint="eastAsia" w:ascii="Times New Roman" w:hAnsi="Times New Roman" w:eastAsia="仿宋" w:cs="Times New Roman"/>
          <w:color w:val="auto"/>
          <w:kern w:val="2"/>
          <w:sz w:val="28"/>
          <w:szCs w:val="28"/>
          <w:lang w:val="en-US" w:eastAsia="zh-CN" w:bidi="ar-SA"/>
        </w:rPr>
        <w:t>草铵膦</w:t>
      </w:r>
      <w:r>
        <w:rPr>
          <w:rFonts w:ascii="Times New Roman" w:hAnsi="Times New Roman" w:eastAsia="仿宋" w:cs="Times New Roman"/>
          <w:color w:val="auto"/>
          <w:kern w:val="2"/>
          <w:sz w:val="28"/>
          <w:szCs w:val="28"/>
          <w:lang w:val="en-US" w:eastAsia="zh-CN" w:bidi="ar-SA"/>
        </w:rPr>
        <w:t>浓度应能满足本标准的要求。</w:t>
      </w:r>
    </w:p>
    <w:p w14:paraId="5C637CB1">
      <w:pPr>
        <w:pStyle w:val="2"/>
        <w:spacing w:before="156" w:beforeLines="50" w:after="0" w:line="500" w:lineRule="exact"/>
        <w:ind w:firstLine="643" w:firstLineChars="200"/>
        <w:rPr>
          <w:rFonts w:eastAsia="黑体"/>
          <w:b w:val="0"/>
          <w:color w:val="auto"/>
          <w:sz w:val="32"/>
          <w:szCs w:val="32"/>
        </w:rPr>
      </w:pPr>
      <w:r>
        <w:rPr>
          <w:rFonts w:eastAsia="黑体"/>
          <w:color w:val="auto"/>
          <w:sz w:val="32"/>
          <w:szCs w:val="32"/>
        </w:rPr>
        <w:t>五</w:t>
      </w:r>
      <w:r>
        <w:rPr>
          <w:rFonts w:eastAsia="黑体"/>
          <w:b w:val="0"/>
          <w:color w:val="auto"/>
          <w:sz w:val="32"/>
          <w:szCs w:val="32"/>
        </w:rPr>
        <w:t>、征求意见和采纳情况</w:t>
      </w:r>
    </w:p>
    <w:p w14:paraId="2369CEDD">
      <w:pPr>
        <w:pStyle w:val="19"/>
        <w:spacing w:line="460" w:lineRule="exact"/>
        <w:ind w:firstLine="560" w:firstLineChars="200"/>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202</w:t>
      </w:r>
      <w:r>
        <w:rPr>
          <w:rFonts w:hint="eastAsia" w:ascii="Times New Roman" w:hAnsi="Times New Roman" w:eastAsia="仿宋" w:cs="Times New Roman"/>
          <w:color w:val="auto"/>
          <w:kern w:val="2"/>
          <w:sz w:val="28"/>
          <w:szCs w:val="28"/>
        </w:rPr>
        <w:t>4</w:t>
      </w:r>
      <w:r>
        <w:rPr>
          <w:rFonts w:ascii="Times New Roman" w:hAnsi="Times New Roman" w:eastAsia="仿宋" w:cs="Times New Roman"/>
          <w:color w:val="auto"/>
          <w:kern w:val="2"/>
          <w:sz w:val="28"/>
          <w:szCs w:val="28"/>
        </w:rPr>
        <w:t>年</w:t>
      </w:r>
      <w:r>
        <w:rPr>
          <w:rFonts w:hint="eastAsia" w:ascii="Times New Roman" w:hAnsi="Times New Roman" w:eastAsia="仿宋" w:cs="Times New Roman"/>
          <w:color w:val="auto"/>
          <w:kern w:val="2"/>
          <w:sz w:val="28"/>
          <w:szCs w:val="28"/>
        </w:rPr>
        <w:t>6</w:t>
      </w:r>
      <w:r>
        <w:rPr>
          <w:rFonts w:ascii="Times New Roman" w:hAnsi="Times New Roman" w:eastAsia="仿宋" w:cs="Times New Roman"/>
          <w:color w:val="auto"/>
          <w:kern w:val="2"/>
          <w:sz w:val="28"/>
          <w:szCs w:val="28"/>
        </w:rPr>
        <w:t>月，课题组将该标准的征求意见稿向</w:t>
      </w:r>
      <w:r>
        <w:rPr>
          <w:rFonts w:hint="eastAsia" w:ascii="Times New Roman" w:hAnsi="Times New Roman" w:eastAsia="仿宋" w:cs="Times New Roman"/>
          <w:color w:val="auto"/>
          <w:kern w:val="2"/>
          <w:sz w:val="28"/>
          <w:szCs w:val="28"/>
        </w:rPr>
        <w:t>高校</w:t>
      </w:r>
      <w:r>
        <w:rPr>
          <w:rFonts w:ascii="Times New Roman" w:hAnsi="Times New Roman" w:eastAsia="仿宋" w:cs="Times New Roman"/>
          <w:color w:val="auto"/>
          <w:kern w:val="2"/>
          <w:sz w:val="28"/>
          <w:szCs w:val="28"/>
        </w:rPr>
        <w:t>、</w:t>
      </w:r>
      <w:r>
        <w:rPr>
          <w:rFonts w:hint="eastAsia" w:ascii="Times New Roman" w:hAnsi="Times New Roman" w:eastAsia="仿宋" w:cs="Times New Roman"/>
          <w:color w:val="auto"/>
          <w:kern w:val="2"/>
          <w:sz w:val="28"/>
          <w:szCs w:val="28"/>
        </w:rPr>
        <w:t>疾控</w:t>
      </w:r>
      <w:r>
        <w:rPr>
          <w:rFonts w:ascii="Times New Roman" w:hAnsi="Times New Roman" w:eastAsia="仿宋" w:cs="Times New Roman"/>
          <w:color w:val="auto"/>
          <w:kern w:val="2"/>
          <w:sz w:val="28"/>
          <w:szCs w:val="28"/>
        </w:rPr>
        <w:t>、</w:t>
      </w:r>
      <w:r>
        <w:rPr>
          <w:rFonts w:hint="eastAsia" w:ascii="Times New Roman" w:hAnsi="Times New Roman" w:eastAsia="仿宋" w:cs="Times New Roman"/>
          <w:color w:val="auto"/>
          <w:kern w:val="2"/>
          <w:sz w:val="28"/>
          <w:szCs w:val="28"/>
        </w:rPr>
        <w:t>研究院</w:t>
      </w:r>
      <w:r>
        <w:rPr>
          <w:rFonts w:ascii="Times New Roman" w:hAnsi="Times New Roman" w:eastAsia="仿宋" w:cs="Times New Roman"/>
          <w:color w:val="auto"/>
          <w:kern w:val="2"/>
          <w:sz w:val="28"/>
          <w:szCs w:val="28"/>
        </w:rPr>
        <w:t>、</w:t>
      </w:r>
      <w:r>
        <w:rPr>
          <w:rFonts w:hint="eastAsia" w:ascii="Times New Roman" w:hAnsi="Times New Roman" w:eastAsia="仿宋" w:cs="Times New Roman"/>
          <w:color w:val="auto"/>
          <w:kern w:val="2"/>
          <w:sz w:val="28"/>
          <w:szCs w:val="28"/>
        </w:rPr>
        <w:t>企业</w:t>
      </w:r>
      <w:r>
        <w:rPr>
          <w:rFonts w:ascii="Times New Roman" w:hAnsi="Times New Roman" w:eastAsia="仿宋" w:cs="Times New Roman"/>
          <w:color w:val="auto"/>
          <w:kern w:val="2"/>
          <w:sz w:val="28"/>
          <w:szCs w:val="28"/>
        </w:rPr>
        <w:t>广泛征求意见，共计发出征求意见函</w:t>
      </w:r>
      <w:r>
        <w:rPr>
          <w:rFonts w:hint="eastAsia" w:ascii="Times New Roman" w:hAnsi="Times New Roman" w:eastAsia="仿宋" w:cs="Times New Roman"/>
          <w:color w:val="auto"/>
          <w:kern w:val="2"/>
          <w:sz w:val="28"/>
          <w:szCs w:val="28"/>
        </w:rPr>
        <w:t>X</w:t>
      </w:r>
      <w:r>
        <w:rPr>
          <w:rFonts w:ascii="Times New Roman" w:hAnsi="Times New Roman" w:eastAsia="仿宋" w:cs="Times New Roman"/>
          <w:color w:val="auto"/>
          <w:kern w:val="2"/>
          <w:sz w:val="28"/>
          <w:szCs w:val="28"/>
        </w:rPr>
        <w:t>份，委员意见收回</w:t>
      </w:r>
      <w:r>
        <w:rPr>
          <w:rFonts w:hint="eastAsia" w:ascii="Times New Roman" w:hAnsi="Times New Roman" w:eastAsia="仿宋" w:cs="Times New Roman"/>
          <w:color w:val="auto"/>
          <w:kern w:val="2"/>
          <w:sz w:val="28"/>
          <w:szCs w:val="28"/>
        </w:rPr>
        <w:t>X</w:t>
      </w:r>
      <w:r>
        <w:rPr>
          <w:rFonts w:ascii="Times New Roman" w:hAnsi="Times New Roman" w:eastAsia="仿宋" w:cs="Times New Roman"/>
          <w:color w:val="auto"/>
          <w:kern w:val="2"/>
          <w:sz w:val="28"/>
          <w:szCs w:val="28"/>
        </w:rPr>
        <w:t>份，非委员意见收回</w:t>
      </w:r>
      <w:r>
        <w:rPr>
          <w:rFonts w:hint="eastAsia" w:ascii="Times New Roman" w:hAnsi="Times New Roman" w:eastAsia="仿宋" w:cs="Times New Roman"/>
          <w:color w:val="auto"/>
          <w:kern w:val="2"/>
          <w:sz w:val="28"/>
          <w:szCs w:val="28"/>
        </w:rPr>
        <w:t>X</w:t>
      </w:r>
      <w:r>
        <w:rPr>
          <w:rFonts w:ascii="Times New Roman" w:hAnsi="Times New Roman" w:eastAsia="仿宋" w:cs="Times New Roman"/>
          <w:color w:val="auto"/>
          <w:kern w:val="2"/>
          <w:sz w:val="28"/>
          <w:szCs w:val="28"/>
        </w:rPr>
        <w:t>份。</w:t>
      </w:r>
      <w:r>
        <w:rPr>
          <w:rFonts w:hint="eastAsia" w:ascii="Times New Roman" w:hAnsi="Times New Roman" w:eastAsia="仿宋" w:cs="Times New Roman"/>
          <w:color w:val="auto"/>
          <w:kern w:val="2"/>
          <w:sz w:val="28"/>
          <w:szCs w:val="28"/>
        </w:rPr>
        <w:t>2024</w:t>
      </w:r>
      <w:r>
        <w:rPr>
          <w:rFonts w:ascii="Times New Roman" w:hAnsi="Times New Roman" w:eastAsia="仿宋" w:cs="Times New Roman"/>
          <w:color w:val="auto"/>
          <w:kern w:val="2"/>
          <w:sz w:val="28"/>
          <w:szCs w:val="28"/>
        </w:rPr>
        <w:t>年</w:t>
      </w:r>
      <w:r>
        <w:rPr>
          <w:rFonts w:hint="eastAsia" w:ascii="Times New Roman" w:hAnsi="Times New Roman" w:eastAsia="仿宋" w:cs="Times New Roman"/>
          <w:color w:val="auto"/>
          <w:kern w:val="2"/>
          <w:sz w:val="28"/>
          <w:szCs w:val="28"/>
        </w:rPr>
        <w:t>X</w:t>
      </w:r>
      <w:r>
        <w:rPr>
          <w:rFonts w:ascii="Times New Roman" w:hAnsi="Times New Roman" w:eastAsia="仿宋" w:cs="Times New Roman"/>
          <w:color w:val="auto"/>
          <w:kern w:val="2"/>
          <w:sz w:val="28"/>
          <w:szCs w:val="28"/>
        </w:rPr>
        <w:t>月起本标准征求意见稿在卫生标准网向全国广泛征求意见。以上工作收集反馈意见和建议共计</w:t>
      </w:r>
      <w:r>
        <w:rPr>
          <w:rFonts w:hint="eastAsia" w:ascii="Times New Roman" w:hAnsi="Times New Roman" w:eastAsia="仿宋" w:cs="Times New Roman"/>
          <w:color w:val="auto"/>
          <w:kern w:val="2"/>
          <w:sz w:val="28"/>
          <w:szCs w:val="28"/>
        </w:rPr>
        <w:t>X</w:t>
      </w:r>
      <w:r>
        <w:rPr>
          <w:rFonts w:ascii="Times New Roman" w:hAnsi="Times New Roman" w:eastAsia="仿宋" w:cs="Times New Roman"/>
          <w:color w:val="auto"/>
          <w:kern w:val="2"/>
          <w:sz w:val="28"/>
          <w:szCs w:val="28"/>
        </w:rPr>
        <w:t>条，其中采纳</w:t>
      </w:r>
      <w:r>
        <w:rPr>
          <w:rFonts w:hint="eastAsia" w:ascii="Times New Roman" w:hAnsi="Times New Roman" w:eastAsia="仿宋" w:cs="Times New Roman"/>
          <w:color w:val="auto"/>
          <w:kern w:val="2"/>
          <w:sz w:val="28"/>
          <w:szCs w:val="28"/>
        </w:rPr>
        <w:t>了X</w:t>
      </w:r>
      <w:r>
        <w:rPr>
          <w:rFonts w:ascii="Times New Roman" w:hAnsi="Times New Roman" w:eastAsia="仿宋" w:cs="Times New Roman"/>
          <w:color w:val="auto"/>
          <w:kern w:val="2"/>
          <w:sz w:val="28"/>
          <w:szCs w:val="28"/>
        </w:rPr>
        <w:t>条，部分采纳了</w:t>
      </w:r>
      <w:r>
        <w:rPr>
          <w:rFonts w:hint="eastAsia" w:ascii="Times New Roman" w:hAnsi="Times New Roman" w:eastAsia="仿宋" w:cs="Times New Roman"/>
          <w:color w:val="auto"/>
          <w:kern w:val="2"/>
          <w:sz w:val="28"/>
          <w:szCs w:val="28"/>
        </w:rPr>
        <w:t>X</w:t>
      </w:r>
      <w:r>
        <w:rPr>
          <w:rFonts w:ascii="Times New Roman" w:hAnsi="Times New Roman" w:eastAsia="仿宋" w:cs="Times New Roman"/>
          <w:color w:val="auto"/>
          <w:kern w:val="2"/>
          <w:sz w:val="28"/>
          <w:szCs w:val="28"/>
        </w:rPr>
        <w:t>条，对不采纳意见或建议陈述了理由。</w:t>
      </w:r>
    </w:p>
    <w:p w14:paraId="46AE4F4B">
      <w:pPr>
        <w:pStyle w:val="19"/>
        <w:spacing w:line="460" w:lineRule="exact"/>
        <w:ind w:firstLine="560" w:firstLineChars="200"/>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以上内容详见《征求意见汇总处理表》。</w:t>
      </w:r>
    </w:p>
    <w:p w14:paraId="6891D5B4">
      <w:pPr>
        <w:pStyle w:val="19"/>
        <w:spacing w:line="460" w:lineRule="exact"/>
        <w:ind w:firstLine="560" w:firstLineChars="200"/>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xxxx年xx月收到国家职业卫生标准专业委员会《xxxx审查会会议纪要》反馈的意见和建议，课题组对反馈意见和建议逐条进行讨论分析，修改情况如下：</w:t>
      </w:r>
    </w:p>
    <w:p w14:paraId="68EB1FD0">
      <w:pPr>
        <w:pStyle w:val="19"/>
        <w:spacing w:line="460" w:lineRule="exact"/>
        <w:ind w:firstLine="560" w:firstLineChars="200"/>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xxxxxxxxxxxxxxxxxxxxxxxx。</w:t>
      </w:r>
    </w:p>
    <w:p w14:paraId="7B8FB4FA">
      <w:pPr>
        <w:pStyle w:val="2"/>
        <w:spacing w:before="156" w:beforeLines="50" w:after="0" w:line="500" w:lineRule="exact"/>
        <w:ind w:firstLine="640" w:firstLineChars="200"/>
        <w:rPr>
          <w:rFonts w:eastAsia="黑体"/>
          <w:b w:val="0"/>
          <w:color w:val="auto"/>
          <w:sz w:val="32"/>
          <w:szCs w:val="32"/>
        </w:rPr>
      </w:pPr>
      <w:r>
        <w:rPr>
          <w:rFonts w:eastAsia="黑体"/>
          <w:b w:val="0"/>
          <w:color w:val="auto"/>
          <w:sz w:val="32"/>
          <w:szCs w:val="32"/>
        </w:rPr>
        <w:t>六、重大意见分歧的处理结果和依据</w:t>
      </w:r>
    </w:p>
    <w:p w14:paraId="06BD11AC">
      <w:pPr>
        <w:pStyle w:val="19"/>
        <w:spacing w:line="460" w:lineRule="exact"/>
        <w:ind w:firstLine="560" w:firstLineChars="200"/>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无重大意见分歧，各实验室在使用本标准时，可根据各实验室要求，满足本方法的条件即可。</w:t>
      </w:r>
    </w:p>
    <w:p w14:paraId="5D55DE07">
      <w:pPr>
        <w:pStyle w:val="2"/>
        <w:spacing w:before="156" w:beforeLines="50" w:after="0" w:line="500" w:lineRule="exact"/>
        <w:ind w:firstLine="640" w:firstLineChars="200"/>
        <w:rPr>
          <w:rFonts w:eastAsia="黑体"/>
          <w:b w:val="0"/>
          <w:color w:val="auto"/>
          <w:sz w:val="32"/>
          <w:szCs w:val="32"/>
        </w:rPr>
      </w:pPr>
      <w:r>
        <w:rPr>
          <w:rFonts w:eastAsia="黑体"/>
          <w:b w:val="0"/>
          <w:color w:val="auto"/>
          <w:sz w:val="32"/>
          <w:szCs w:val="32"/>
        </w:rPr>
        <w:t>七、实施标准的建议</w:t>
      </w:r>
    </w:p>
    <w:p w14:paraId="76594F03">
      <w:pPr>
        <w:pStyle w:val="19"/>
        <w:spacing w:line="460" w:lineRule="exact"/>
        <w:ind w:firstLine="560" w:firstLineChars="200"/>
        <w:rPr>
          <w:rFonts w:ascii="Times New Roman" w:hAnsi="Times New Roman" w:eastAsia="仿宋" w:cs="Times New Roman"/>
          <w:color w:val="auto"/>
          <w:kern w:val="2"/>
          <w:sz w:val="28"/>
          <w:szCs w:val="28"/>
        </w:rPr>
      </w:pPr>
      <w:r>
        <w:rPr>
          <w:rFonts w:ascii="Times New Roman" w:hAnsi="Times New Roman" w:eastAsia="仿宋" w:cs="Times New Roman"/>
          <w:color w:val="auto"/>
          <w:kern w:val="2"/>
          <w:sz w:val="28"/>
          <w:szCs w:val="28"/>
        </w:rPr>
        <w:t>本标准建议发布后</w:t>
      </w:r>
      <w:r>
        <w:rPr>
          <w:rFonts w:hint="eastAsia" w:ascii="Times New Roman" w:hAnsi="Times New Roman" w:eastAsia="仿宋" w:cs="Times New Roman"/>
          <w:color w:val="auto"/>
          <w:kern w:val="2"/>
          <w:sz w:val="28"/>
          <w:szCs w:val="28"/>
        </w:rPr>
        <w:t>3</w:t>
      </w:r>
      <w:r>
        <w:rPr>
          <w:rFonts w:ascii="Times New Roman" w:hAnsi="Times New Roman" w:eastAsia="仿宋" w:cs="Times New Roman"/>
          <w:color w:val="auto"/>
          <w:kern w:val="2"/>
          <w:sz w:val="28"/>
          <w:szCs w:val="28"/>
        </w:rPr>
        <w:t>个月实施。</w:t>
      </w:r>
    </w:p>
    <w:p w14:paraId="01E8C13C">
      <w:pPr>
        <w:pStyle w:val="2"/>
        <w:spacing w:before="156" w:beforeLines="50" w:after="0" w:line="460" w:lineRule="exact"/>
        <w:ind w:firstLine="480" w:firstLineChars="150"/>
        <w:rPr>
          <w:color w:val="auto"/>
        </w:rPr>
      </w:pPr>
      <w:r>
        <w:rPr>
          <w:rFonts w:eastAsia="黑体"/>
          <w:b w:val="0"/>
          <w:color w:val="auto"/>
          <w:sz w:val="32"/>
          <w:szCs w:val="32"/>
        </w:rPr>
        <w:t>八、其他应予说明的事项</w:t>
      </w:r>
    </w:p>
    <w:p w14:paraId="2DCEAF77">
      <w:pPr>
        <w:spacing w:line="480" w:lineRule="exact"/>
        <w:ind w:firstLine="560" w:firstLineChars="200"/>
        <w:rPr>
          <w:rFonts w:eastAsia="仿宋"/>
          <w:color w:val="auto"/>
          <w:sz w:val="28"/>
          <w:szCs w:val="28"/>
        </w:rPr>
      </w:pPr>
      <w:r>
        <w:rPr>
          <w:rFonts w:eastAsia="仿宋"/>
          <w:color w:val="auto"/>
          <w:sz w:val="28"/>
          <w:szCs w:val="28"/>
        </w:rPr>
        <w:t>检测实验室应根据本实验室使用的测定仪器、实验条件和测定需要，参照此操作条件，将测定仪器调节至“最佳测定状态”后进行测定。</w:t>
      </w:r>
    </w:p>
    <w:p w14:paraId="7C019B76">
      <w:pPr>
        <w:pStyle w:val="19"/>
        <w:spacing w:line="460" w:lineRule="exact"/>
        <w:rPr>
          <w:rFonts w:ascii="Times New Roman" w:hAnsi="Times New Roman" w:eastAsia="仿宋" w:cs="Times New Roman"/>
          <w:b/>
          <w:bCs/>
          <w:color w:val="auto"/>
          <w:kern w:val="2"/>
          <w:sz w:val="28"/>
          <w:szCs w:val="28"/>
        </w:rPr>
      </w:pPr>
    </w:p>
    <w:p w14:paraId="3E67042B">
      <w:pPr>
        <w:pStyle w:val="19"/>
        <w:spacing w:line="460" w:lineRule="exact"/>
        <w:rPr>
          <w:rFonts w:ascii="Times New Roman" w:hAnsi="Times New Roman" w:eastAsia="仿宋" w:cs="Times New Roman"/>
          <w:b/>
          <w:bCs/>
          <w:color w:val="auto"/>
          <w:kern w:val="2"/>
          <w:sz w:val="28"/>
          <w:szCs w:val="28"/>
        </w:rPr>
      </w:pPr>
    </w:p>
    <w:p w14:paraId="2EFCB736">
      <w:pPr>
        <w:pStyle w:val="19"/>
        <w:spacing w:line="460" w:lineRule="exact"/>
        <w:rPr>
          <w:rFonts w:ascii="Times New Roman" w:hAnsi="Times New Roman" w:eastAsia="仿宋" w:cs="Times New Roman"/>
          <w:b/>
          <w:bCs/>
          <w:color w:val="auto"/>
          <w:kern w:val="2"/>
          <w:sz w:val="28"/>
          <w:szCs w:val="28"/>
        </w:rPr>
      </w:pPr>
      <w:r>
        <w:rPr>
          <w:rFonts w:ascii="Times New Roman" w:hAnsi="Times New Roman" w:eastAsia="仿宋" w:cs="Times New Roman"/>
          <w:b/>
          <w:bCs/>
          <w:color w:val="auto"/>
          <w:kern w:val="2"/>
          <w:sz w:val="28"/>
          <w:szCs w:val="28"/>
        </w:rPr>
        <w:t>参考文献</w:t>
      </w:r>
    </w:p>
    <w:p w14:paraId="6735E90A">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8"/>
          <w:szCs w:val="28"/>
        </w:rPr>
        <w:t xml:space="preserve"> </w:t>
      </w:r>
      <w:r>
        <w:rPr>
          <w:color w:val="auto"/>
          <w:sz w:val="24"/>
          <w:szCs w:val="24"/>
        </w:rPr>
        <w:t>[</w:t>
      </w:r>
      <w:r>
        <w:rPr>
          <w:rFonts w:hint="eastAsia"/>
          <w:color w:val="auto"/>
          <w:sz w:val="24"/>
          <w:szCs w:val="24"/>
        </w:rPr>
        <w:t>1</w:t>
      </w:r>
      <w:r>
        <w:rPr>
          <w:color w:val="auto"/>
          <w:sz w:val="24"/>
          <w:szCs w:val="24"/>
        </w:rPr>
        <w:t>]</w:t>
      </w:r>
      <w:r>
        <w:rPr>
          <w:color w:val="auto"/>
          <w:sz w:val="24"/>
          <w:szCs w:val="24"/>
        </w:rPr>
        <w:tab/>
      </w:r>
      <w:bookmarkStart w:id="4" w:name="_neb4D1744F5_0E6F_4D35_8E6D_0D6463DC5DC9"/>
      <w:bookmarkEnd w:id="4"/>
      <w:r>
        <w:rPr>
          <w:rFonts w:hint="eastAsia" w:ascii="宋体" w:hAnsi="宋体"/>
          <w:color w:val="auto"/>
          <w:sz w:val="24"/>
          <w:szCs w:val="24"/>
        </w:rPr>
        <w:t>余永志</w:t>
      </w:r>
      <w:r>
        <w:rPr>
          <w:color w:val="auto"/>
          <w:sz w:val="24"/>
          <w:szCs w:val="24"/>
        </w:rPr>
        <w:t xml:space="preserve">, </w:t>
      </w:r>
      <w:r>
        <w:rPr>
          <w:rFonts w:hint="eastAsia" w:ascii="宋体" w:hAnsi="宋体"/>
          <w:color w:val="auto"/>
          <w:sz w:val="24"/>
          <w:szCs w:val="24"/>
        </w:rPr>
        <w:t>吴文进</w:t>
      </w:r>
      <w:r>
        <w:rPr>
          <w:color w:val="auto"/>
          <w:sz w:val="24"/>
          <w:szCs w:val="24"/>
        </w:rPr>
        <w:t>. 200g/L</w:t>
      </w:r>
      <w:r>
        <w:rPr>
          <w:rFonts w:hint="eastAsia" w:ascii="宋体" w:hAnsi="宋体"/>
          <w:color w:val="auto"/>
          <w:sz w:val="24"/>
          <w:szCs w:val="24"/>
        </w:rPr>
        <w:t>草铵膦水剂对桃园杂草的防效研究</w:t>
      </w:r>
      <w:r>
        <w:rPr>
          <w:color w:val="auto"/>
          <w:sz w:val="24"/>
          <w:szCs w:val="24"/>
        </w:rPr>
        <w:t xml:space="preserve">[J]. </w:t>
      </w:r>
      <w:r>
        <w:rPr>
          <w:rFonts w:hint="eastAsia" w:ascii="宋体" w:hAnsi="宋体"/>
          <w:color w:val="auto"/>
          <w:sz w:val="24"/>
          <w:szCs w:val="24"/>
        </w:rPr>
        <w:t>现代农业科技</w:t>
      </w:r>
      <w:r>
        <w:rPr>
          <w:color w:val="auto"/>
          <w:sz w:val="24"/>
          <w:szCs w:val="24"/>
        </w:rPr>
        <w:t>, 2013(21): 138-139.</w:t>
      </w:r>
    </w:p>
    <w:p w14:paraId="01FDBBFE">
      <w:pPr>
        <w:keepNext w:val="0"/>
        <w:keepLines w:val="0"/>
        <w:pageBreakBefore w:val="0"/>
        <w:widowControl/>
        <w:kinsoku/>
        <w:wordWrap/>
        <w:overflowPunct/>
        <w:topLinePunct w:val="0"/>
        <w:autoSpaceDE/>
        <w:autoSpaceDN/>
        <w:bidi w:val="0"/>
        <w:adjustRightInd/>
        <w:snapToGrid/>
        <w:spacing w:line="460" w:lineRule="exact"/>
        <w:ind w:left="420" w:hanging="420"/>
        <w:textAlignment w:val="auto"/>
        <w:rPr>
          <w:rFonts w:asciiTheme="minorHAnsi" w:hAnsiTheme="minorHAnsi" w:eastAsiaTheme="minorEastAsia"/>
          <w:color w:val="auto"/>
          <w:kern w:val="0"/>
          <w:sz w:val="24"/>
          <w:szCs w:val="24"/>
        </w:rPr>
      </w:pPr>
      <w:r>
        <w:rPr>
          <w:rFonts w:eastAsiaTheme="minorEastAsia"/>
          <w:color w:val="auto"/>
          <w:kern w:val="0"/>
          <w:sz w:val="24"/>
          <w:szCs w:val="24"/>
        </w:rPr>
        <w:t xml:space="preserve"> [</w:t>
      </w:r>
      <w:r>
        <w:rPr>
          <w:rFonts w:hint="eastAsia" w:eastAsiaTheme="minorEastAsia"/>
          <w:color w:val="auto"/>
          <w:kern w:val="0"/>
          <w:sz w:val="24"/>
          <w:szCs w:val="24"/>
        </w:rPr>
        <w:t>2</w:t>
      </w:r>
      <w:r>
        <w:rPr>
          <w:rFonts w:eastAsiaTheme="minorEastAsia"/>
          <w:color w:val="auto"/>
          <w:kern w:val="0"/>
          <w:sz w:val="24"/>
          <w:szCs w:val="24"/>
        </w:rPr>
        <w:t>]</w:t>
      </w:r>
      <w:r>
        <w:rPr>
          <w:rFonts w:eastAsiaTheme="minorEastAsia"/>
          <w:color w:val="auto"/>
          <w:kern w:val="0"/>
          <w:sz w:val="24"/>
          <w:szCs w:val="24"/>
        </w:rPr>
        <w:tab/>
      </w:r>
      <w:bookmarkStart w:id="5" w:name="_nebCA51898C_B780_4F9A_A128_8B408FDE37D0"/>
      <w:bookmarkEnd w:id="5"/>
      <w:r>
        <w:rPr>
          <w:rFonts w:hint="eastAsia" w:ascii="宋体" w:hAnsi="宋体" w:eastAsiaTheme="minorEastAsia"/>
          <w:color w:val="auto"/>
          <w:kern w:val="0"/>
          <w:sz w:val="24"/>
          <w:szCs w:val="24"/>
        </w:rPr>
        <w:t>张文</w:t>
      </w:r>
      <w:r>
        <w:rPr>
          <w:rFonts w:eastAsiaTheme="minorEastAsia"/>
          <w:color w:val="auto"/>
          <w:kern w:val="0"/>
          <w:sz w:val="24"/>
          <w:szCs w:val="24"/>
        </w:rPr>
        <w:t xml:space="preserve">, </w:t>
      </w:r>
      <w:r>
        <w:rPr>
          <w:rFonts w:hint="eastAsia" w:ascii="宋体" w:hAnsi="宋体" w:eastAsiaTheme="minorEastAsia"/>
          <w:color w:val="auto"/>
          <w:kern w:val="0"/>
          <w:sz w:val="24"/>
          <w:szCs w:val="24"/>
        </w:rPr>
        <w:t>朱仁愿</w:t>
      </w:r>
      <w:r>
        <w:rPr>
          <w:rFonts w:eastAsiaTheme="minorEastAsia"/>
          <w:color w:val="auto"/>
          <w:kern w:val="0"/>
          <w:sz w:val="24"/>
          <w:szCs w:val="24"/>
        </w:rPr>
        <w:t xml:space="preserve">, </w:t>
      </w:r>
      <w:r>
        <w:rPr>
          <w:rFonts w:hint="eastAsia" w:ascii="宋体" w:hAnsi="宋体" w:eastAsiaTheme="minorEastAsia"/>
          <w:color w:val="auto"/>
          <w:kern w:val="0"/>
          <w:sz w:val="24"/>
          <w:szCs w:val="24"/>
        </w:rPr>
        <w:t>陈婷</w:t>
      </w:r>
      <w:r>
        <w:rPr>
          <w:rFonts w:eastAsiaTheme="minorEastAsia"/>
          <w:color w:val="auto"/>
          <w:kern w:val="0"/>
          <w:sz w:val="24"/>
          <w:szCs w:val="24"/>
        </w:rPr>
        <w:t xml:space="preserve">, </w:t>
      </w:r>
      <w:r>
        <w:rPr>
          <w:rFonts w:hint="eastAsia" w:ascii="宋体" w:hAnsi="宋体" w:eastAsiaTheme="minorEastAsia"/>
          <w:color w:val="auto"/>
          <w:kern w:val="0"/>
          <w:sz w:val="24"/>
          <w:szCs w:val="24"/>
        </w:rPr>
        <w:t>等</w:t>
      </w:r>
      <w:r>
        <w:rPr>
          <w:rFonts w:eastAsiaTheme="minorEastAsia"/>
          <w:color w:val="auto"/>
          <w:kern w:val="0"/>
          <w:sz w:val="24"/>
          <w:szCs w:val="24"/>
        </w:rPr>
        <w:t xml:space="preserve">. </w:t>
      </w:r>
      <w:r>
        <w:rPr>
          <w:rFonts w:hint="eastAsia" w:ascii="宋体" w:hAnsi="宋体" w:eastAsiaTheme="minorEastAsia"/>
          <w:color w:val="auto"/>
          <w:kern w:val="0"/>
          <w:sz w:val="24"/>
          <w:szCs w:val="24"/>
        </w:rPr>
        <w:t>强极性农药残留检测方法的研究进展</w:t>
      </w:r>
      <w:r>
        <w:rPr>
          <w:rFonts w:eastAsiaTheme="minorEastAsia"/>
          <w:color w:val="auto"/>
          <w:kern w:val="0"/>
          <w:sz w:val="24"/>
          <w:szCs w:val="24"/>
        </w:rPr>
        <w:t xml:space="preserve">[J]. </w:t>
      </w:r>
      <w:r>
        <w:rPr>
          <w:rFonts w:hint="eastAsia" w:ascii="宋体" w:hAnsi="宋体" w:eastAsiaTheme="minorEastAsia"/>
          <w:color w:val="auto"/>
          <w:kern w:val="0"/>
          <w:sz w:val="24"/>
          <w:szCs w:val="24"/>
        </w:rPr>
        <w:t>食品工业科技</w:t>
      </w:r>
      <w:r>
        <w:rPr>
          <w:rFonts w:eastAsiaTheme="minorEastAsia"/>
          <w:color w:val="auto"/>
          <w:kern w:val="0"/>
          <w:sz w:val="24"/>
          <w:szCs w:val="24"/>
        </w:rPr>
        <w:t>, 2021, 42(11): 356-364.</w:t>
      </w:r>
    </w:p>
    <w:p w14:paraId="5BDE65A0">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4"/>
          <w:szCs w:val="24"/>
        </w:rPr>
        <w:t>[</w:t>
      </w:r>
      <w:r>
        <w:rPr>
          <w:rFonts w:hint="eastAsia"/>
          <w:color w:val="auto"/>
          <w:sz w:val="24"/>
          <w:szCs w:val="24"/>
        </w:rPr>
        <w:t>3</w:t>
      </w:r>
      <w:r>
        <w:rPr>
          <w:color w:val="auto"/>
          <w:sz w:val="24"/>
          <w:szCs w:val="24"/>
        </w:rPr>
        <w:t>]</w:t>
      </w:r>
      <w:bookmarkStart w:id="6" w:name="_neb7FE57A0F_64CB_491E_B704_5DC6A4599B95"/>
      <w:bookmarkEnd w:id="6"/>
      <w:r>
        <w:rPr>
          <w:rFonts w:hint="eastAsia"/>
          <w:color w:val="auto"/>
          <w:sz w:val="24"/>
          <w:szCs w:val="24"/>
        </w:rPr>
        <w:t xml:space="preserve"> </w:t>
      </w:r>
      <w:r>
        <w:rPr>
          <w:color w:val="auto"/>
          <w:sz w:val="24"/>
          <w:szCs w:val="24"/>
        </w:rPr>
        <w:t>Kang G R, Song H Y, Kim D S. Toxicity and Effects of the Herbicide Glufosinate-Ammonium (Basta) on the Marine Medaka Oryzias dancena[J]. Fisheries and Aquatic Sciences, 2014, 17(1): 105-113.</w:t>
      </w:r>
    </w:p>
    <w:p w14:paraId="2EAED757">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4"/>
          <w:szCs w:val="24"/>
        </w:rPr>
        <w:t>[</w:t>
      </w:r>
      <w:r>
        <w:rPr>
          <w:rFonts w:hint="eastAsia"/>
          <w:color w:val="auto"/>
          <w:sz w:val="24"/>
          <w:szCs w:val="24"/>
        </w:rPr>
        <w:t>4</w:t>
      </w:r>
      <w:r>
        <w:rPr>
          <w:color w:val="auto"/>
          <w:sz w:val="24"/>
          <w:szCs w:val="24"/>
        </w:rPr>
        <w:t>]</w:t>
      </w:r>
      <w:r>
        <w:rPr>
          <w:color w:val="auto"/>
          <w:sz w:val="24"/>
          <w:szCs w:val="24"/>
        </w:rPr>
        <w:tab/>
      </w:r>
      <w:bookmarkStart w:id="7" w:name="_neb8D51BFB7_4DF9_4D23_AFCB_3558BA6492CF"/>
      <w:bookmarkEnd w:id="7"/>
      <w:r>
        <w:rPr>
          <w:color w:val="auto"/>
          <w:sz w:val="24"/>
          <w:szCs w:val="24"/>
        </w:rPr>
        <w:t>Lantz S R, Mack C M, Wallace K, et al. Glufosinate binds N-methyl-D-aspartate receptors and increases neuronal network activity in vitro[J]. Neurotoxicology, 2014, 45: 38-47.</w:t>
      </w:r>
    </w:p>
    <w:p w14:paraId="0065ED45">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4"/>
          <w:szCs w:val="24"/>
        </w:rPr>
        <w:t>[</w:t>
      </w:r>
      <w:r>
        <w:rPr>
          <w:rFonts w:hint="eastAsia"/>
          <w:color w:val="auto"/>
          <w:sz w:val="24"/>
          <w:szCs w:val="24"/>
        </w:rPr>
        <w:t>5</w:t>
      </w:r>
      <w:r>
        <w:rPr>
          <w:color w:val="auto"/>
          <w:sz w:val="24"/>
          <w:szCs w:val="24"/>
        </w:rPr>
        <w:t>]</w:t>
      </w:r>
      <w:r>
        <w:rPr>
          <w:color w:val="auto"/>
          <w:sz w:val="24"/>
          <w:szCs w:val="24"/>
        </w:rPr>
        <w:tab/>
      </w:r>
      <w:bookmarkStart w:id="8" w:name="_neb7CD2ADE6_098A_4654_AFCB_60FD43256186"/>
      <w:bookmarkEnd w:id="8"/>
      <w:r>
        <w:rPr>
          <w:rFonts w:hint="eastAsia" w:ascii="宋体" w:hAnsi="宋体"/>
          <w:color w:val="auto"/>
          <w:sz w:val="24"/>
          <w:szCs w:val="24"/>
        </w:rPr>
        <w:t>王丰</w:t>
      </w:r>
      <w:r>
        <w:rPr>
          <w:color w:val="auto"/>
          <w:sz w:val="24"/>
          <w:szCs w:val="24"/>
        </w:rPr>
        <w:t xml:space="preserve">, </w:t>
      </w:r>
      <w:r>
        <w:rPr>
          <w:rFonts w:hint="eastAsia" w:ascii="宋体" w:hAnsi="宋体"/>
          <w:color w:val="auto"/>
          <w:sz w:val="24"/>
          <w:szCs w:val="24"/>
        </w:rPr>
        <w:t>陈形</w:t>
      </w:r>
      <w:r>
        <w:rPr>
          <w:color w:val="auto"/>
          <w:sz w:val="24"/>
          <w:szCs w:val="24"/>
        </w:rPr>
        <w:t xml:space="preserve">, </w:t>
      </w:r>
      <w:r>
        <w:rPr>
          <w:rFonts w:hint="eastAsia" w:ascii="宋体" w:hAnsi="宋体"/>
          <w:color w:val="auto"/>
          <w:sz w:val="24"/>
          <w:szCs w:val="24"/>
        </w:rPr>
        <w:t>杨达汉</w:t>
      </w:r>
      <w:r>
        <w:rPr>
          <w:color w:val="auto"/>
          <w:sz w:val="24"/>
          <w:szCs w:val="24"/>
        </w:rPr>
        <w:t xml:space="preserve">, </w:t>
      </w:r>
      <w:r>
        <w:rPr>
          <w:rFonts w:hint="eastAsia" w:ascii="宋体" w:hAnsi="宋体"/>
          <w:color w:val="auto"/>
          <w:sz w:val="24"/>
          <w:szCs w:val="24"/>
        </w:rPr>
        <w:t>等</w:t>
      </w:r>
      <w:r>
        <w:rPr>
          <w:color w:val="auto"/>
          <w:sz w:val="24"/>
          <w:szCs w:val="24"/>
        </w:rPr>
        <w:t xml:space="preserve">. </w:t>
      </w:r>
      <w:r>
        <w:rPr>
          <w:rFonts w:hint="eastAsia" w:ascii="宋体" w:hAnsi="宋体"/>
          <w:color w:val="auto"/>
          <w:sz w:val="24"/>
          <w:szCs w:val="24"/>
        </w:rPr>
        <w:t>草铵膦对斑马鱼胚胎及仔鱼的毒性研究</w:t>
      </w:r>
      <w:r>
        <w:rPr>
          <w:color w:val="auto"/>
          <w:sz w:val="24"/>
          <w:szCs w:val="24"/>
        </w:rPr>
        <w:t xml:space="preserve">[J]. </w:t>
      </w:r>
      <w:r>
        <w:rPr>
          <w:rFonts w:hint="eastAsia" w:ascii="宋体" w:hAnsi="宋体"/>
          <w:color w:val="auto"/>
          <w:sz w:val="24"/>
          <w:szCs w:val="24"/>
        </w:rPr>
        <w:t>农药学学报</w:t>
      </w:r>
      <w:r>
        <w:rPr>
          <w:color w:val="auto"/>
          <w:sz w:val="24"/>
          <w:szCs w:val="24"/>
        </w:rPr>
        <w:t>, 2016, 18(03): 323-329.</w:t>
      </w:r>
    </w:p>
    <w:p w14:paraId="53BF09ED">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4"/>
          <w:szCs w:val="24"/>
        </w:rPr>
        <w:t>[</w:t>
      </w:r>
      <w:r>
        <w:rPr>
          <w:rFonts w:hint="eastAsia"/>
          <w:color w:val="auto"/>
          <w:sz w:val="24"/>
          <w:szCs w:val="24"/>
        </w:rPr>
        <w:t>6</w:t>
      </w:r>
      <w:r>
        <w:rPr>
          <w:color w:val="auto"/>
          <w:sz w:val="24"/>
          <w:szCs w:val="24"/>
        </w:rPr>
        <w:t>]</w:t>
      </w:r>
      <w:r>
        <w:rPr>
          <w:color w:val="auto"/>
          <w:sz w:val="24"/>
          <w:szCs w:val="24"/>
        </w:rPr>
        <w:tab/>
      </w:r>
      <w:bookmarkStart w:id="9" w:name="_nebC0872DCE_AC9D_49FF_A1D7_7CEEABCE9F49"/>
      <w:bookmarkEnd w:id="9"/>
      <w:r>
        <w:rPr>
          <w:color w:val="auto"/>
          <w:sz w:val="24"/>
          <w:szCs w:val="24"/>
        </w:rPr>
        <w:t>Xiong G, Deng Y, Li J, et al. Immunotoxicity and transcriptome analysis of zebrafish embryos in response to glufosinate-ammonium exposure[J]. Chemosphere, 2019, 236: 124423.</w:t>
      </w:r>
    </w:p>
    <w:p w14:paraId="7334200D">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4"/>
          <w:szCs w:val="24"/>
        </w:rPr>
        <w:t>[</w:t>
      </w:r>
      <w:r>
        <w:rPr>
          <w:rFonts w:hint="eastAsia"/>
          <w:color w:val="auto"/>
          <w:sz w:val="24"/>
          <w:szCs w:val="24"/>
        </w:rPr>
        <w:t>7</w:t>
      </w:r>
      <w:r>
        <w:rPr>
          <w:color w:val="auto"/>
          <w:sz w:val="24"/>
          <w:szCs w:val="24"/>
        </w:rPr>
        <w:t>]</w:t>
      </w:r>
      <w:r>
        <w:rPr>
          <w:color w:val="auto"/>
          <w:sz w:val="24"/>
          <w:szCs w:val="24"/>
        </w:rPr>
        <w:tab/>
      </w:r>
      <w:bookmarkStart w:id="10" w:name="_neb69C72BC5_0665_4668_A88C_958022638295"/>
      <w:bookmarkEnd w:id="10"/>
      <w:r>
        <w:rPr>
          <w:color w:val="auto"/>
          <w:sz w:val="24"/>
          <w:szCs w:val="24"/>
        </w:rPr>
        <w:t>Calas A G, Richard O, Meme S, et al. Chronic exposure to glufosinate-ammonium induces spatial memory impairments, hippocampal MRI modifications and glutamine synthetase activation in mice[J]. Neurotoxicology, 2008, 29(4): 740-747.</w:t>
      </w:r>
    </w:p>
    <w:p w14:paraId="441D39E6">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4"/>
          <w:szCs w:val="24"/>
        </w:rPr>
        <w:t>[</w:t>
      </w:r>
      <w:r>
        <w:rPr>
          <w:rFonts w:hint="eastAsia"/>
          <w:color w:val="auto"/>
          <w:sz w:val="24"/>
          <w:szCs w:val="24"/>
        </w:rPr>
        <w:t>8</w:t>
      </w:r>
      <w:r>
        <w:rPr>
          <w:color w:val="auto"/>
          <w:sz w:val="24"/>
          <w:szCs w:val="24"/>
        </w:rPr>
        <w:t>]</w:t>
      </w:r>
      <w:r>
        <w:rPr>
          <w:color w:val="auto"/>
          <w:sz w:val="24"/>
          <w:szCs w:val="24"/>
        </w:rPr>
        <w:tab/>
      </w:r>
      <w:bookmarkStart w:id="11" w:name="_nebCD38525F_54F8_4FC5_B931_13BF883A14E1"/>
      <w:bookmarkEnd w:id="11"/>
      <w:r>
        <w:rPr>
          <w:color w:val="auto"/>
          <w:sz w:val="24"/>
          <w:szCs w:val="24"/>
        </w:rPr>
        <w:t>Peltzer P M, Junges C M, Attademo A M, et al. Cholinesterase activities and behavioral changes in Hypsiboas pulchellus (Anura:Hylidae) tadpoles exposed to glufosinate ammonium herbicide[J]. Ecotoxicology, 2013, 22(7): 1165-1173.</w:t>
      </w:r>
    </w:p>
    <w:p w14:paraId="1BC01646">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4"/>
          <w:szCs w:val="24"/>
        </w:rPr>
        <w:t>[</w:t>
      </w:r>
      <w:r>
        <w:rPr>
          <w:rFonts w:hint="eastAsia"/>
          <w:color w:val="auto"/>
          <w:sz w:val="24"/>
          <w:szCs w:val="24"/>
        </w:rPr>
        <w:t>9</w:t>
      </w:r>
      <w:r>
        <w:rPr>
          <w:color w:val="auto"/>
          <w:sz w:val="24"/>
          <w:szCs w:val="24"/>
        </w:rPr>
        <w:t>]</w:t>
      </w:r>
      <w:bookmarkStart w:id="12" w:name="_neb6D7A1797_584F_495A_B078_2CD484061D44"/>
      <w:bookmarkEnd w:id="12"/>
      <w:r>
        <w:rPr>
          <w:rFonts w:hint="eastAsia"/>
          <w:color w:val="auto"/>
          <w:sz w:val="24"/>
          <w:szCs w:val="24"/>
        </w:rPr>
        <w:t xml:space="preserve"> </w:t>
      </w:r>
      <w:r>
        <w:rPr>
          <w:rFonts w:hint="eastAsia" w:ascii="宋体" w:hAnsi="宋体"/>
          <w:color w:val="auto"/>
          <w:sz w:val="24"/>
          <w:szCs w:val="24"/>
        </w:rPr>
        <w:t>王淑燕</w:t>
      </w:r>
      <w:r>
        <w:rPr>
          <w:color w:val="auto"/>
          <w:sz w:val="24"/>
          <w:szCs w:val="24"/>
        </w:rPr>
        <w:t xml:space="preserve">, </w:t>
      </w:r>
      <w:r>
        <w:rPr>
          <w:rFonts w:hint="eastAsia" w:ascii="宋体" w:hAnsi="宋体"/>
          <w:color w:val="auto"/>
          <w:sz w:val="24"/>
          <w:szCs w:val="24"/>
        </w:rPr>
        <w:t>郭永春</w:t>
      </w:r>
      <w:r>
        <w:rPr>
          <w:color w:val="auto"/>
          <w:sz w:val="24"/>
          <w:szCs w:val="24"/>
        </w:rPr>
        <w:t xml:space="preserve">, </w:t>
      </w:r>
      <w:r>
        <w:rPr>
          <w:rFonts w:hint="eastAsia" w:ascii="宋体" w:hAnsi="宋体"/>
          <w:color w:val="auto"/>
          <w:sz w:val="24"/>
          <w:szCs w:val="24"/>
        </w:rPr>
        <w:t>周鹏</w:t>
      </w:r>
      <w:r>
        <w:rPr>
          <w:color w:val="auto"/>
          <w:sz w:val="24"/>
          <w:szCs w:val="24"/>
        </w:rPr>
        <w:t xml:space="preserve">, </w:t>
      </w:r>
      <w:r>
        <w:rPr>
          <w:rFonts w:hint="eastAsia" w:ascii="宋体" w:hAnsi="宋体"/>
          <w:color w:val="auto"/>
          <w:sz w:val="24"/>
          <w:szCs w:val="24"/>
        </w:rPr>
        <w:t>等</w:t>
      </w:r>
      <w:r>
        <w:rPr>
          <w:color w:val="auto"/>
          <w:sz w:val="24"/>
          <w:szCs w:val="24"/>
        </w:rPr>
        <w:t xml:space="preserve">. </w:t>
      </w:r>
      <w:r>
        <w:rPr>
          <w:rFonts w:hint="eastAsia" w:ascii="宋体" w:hAnsi="宋体"/>
          <w:color w:val="auto"/>
          <w:sz w:val="24"/>
          <w:szCs w:val="24"/>
        </w:rPr>
        <w:t>草铵膦对茶树生长及品质成分的影响</w:t>
      </w:r>
      <w:r>
        <w:rPr>
          <w:color w:val="auto"/>
          <w:sz w:val="24"/>
          <w:szCs w:val="24"/>
        </w:rPr>
        <w:t xml:space="preserve">[J]. </w:t>
      </w:r>
      <w:r>
        <w:rPr>
          <w:rFonts w:hint="eastAsia" w:ascii="宋体" w:hAnsi="宋体"/>
          <w:color w:val="auto"/>
          <w:sz w:val="24"/>
          <w:szCs w:val="24"/>
        </w:rPr>
        <w:t>食品安全质量检测学报</w:t>
      </w:r>
      <w:r>
        <w:rPr>
          <w:color w:val="auto"/>
          <w:sz w:val="24"/>
          <w:szCs w:val="24"/>
        </w:rPr>
        <w:t>, 2021, 12(20): 8084-8092.</w:t>
      </w:r>
    </w:p>
    <w:p w14:paraId="36301CA4">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4"/>
          <w:szCs w:val="24"/>
        </w:rPr>
        <w:t>[</w:t>
      </w:r>
      <w:r>
        <w:rPr>
          <w:rFonts w:hint="eastAsia"/>
          <w:color w:val="auto"/>
          <w:sz w:val="24"/>
          <w:szCs w:val="24"/>
        </w:rPr>
        <w:t>10</w:t>
      </w:r>
      <w:r>
        <w:rPr>
          <w:color w:val="auto"/>
          <w:sz w:val="24"/>
          <w:szCs w:val="24"/>
        </w:rPr>
        <w:t>]</w:t>
      </w:r>
      <w:bookmarkStart w:id="13" w:name="_neb0BC868C2_44DE_4182_88EB_F70CC33DA218"/>
      <w:bookmarkEnd w:id="13"/>
      <w:r>
        <w:rPr>
          <w:rFonts w:hint="eastAsia"/>
          <w:color w:val="auto"/>
          <w:sz w:val="24"/>
          <w:szCs w:val="24"/>
        </w:rPr>
        <w:t xml:space="preserve"> </w:t>
      </w:r>
      <w:r>
        <w:rPr>
          <w:rFonts w:hint="eastAsia" w:ascii="宋体" w:hAnsi="宋体"/>
          <w:color w:val="auto"/>
          <w:sz w:val="24"/>
          <w:szCs w:val="24"/>
        </w:rPr>
        <w:t>周文涛</w:t>
      </w:r>
      <w:r>
        <w:rPr>
          <w:color w:val="auto"/>
          <w:sz w:val="24"/>
          <w:szCs w:val="24"/>
        </w:rPr>
        <w:t xml:space="preserve">, </w:t>
      </w:r>
      <w:r>
        <w:rPr>
          <w:rFonts w:hint="eastAsia" w:ascii="宋体" w:hAnsi="宋体"/>
          <w:color w:val="auto"/>
          <w:sz w:val="24"/>
          <w:szCs w:val="24"/>
        </w:rPr>
        <w:t>陈东亮</w:t>
      </w:r>
      <w:r>
        <w:rPr>
          <w:color w:val="auto"/>
          <w:sz w:val="24"/>
          <w:szCs w:val="24"/>
        </w:rPr>
        <w:t xml:space="preserve">, </w:t>
      </w:r>
      <w:r>
        <w:rPr>
          <w:rFonts w:hint="eastAsia" w:ascii="宋体" w:hAnsi="宋体"/>
          <w:color w:val="auto"/>
          <w:sz w:val="24"/>
          <w:szCs w:val="24"/>
        </w:rPr>
        <w:t>任义英</w:t>
      </w:r>
      <w:r>
        <w:rPr>
          <w:color w:val="auto"/>
          <w:sz w:val="24"/>
          <w:szCs w:val="24"/>
        </w:rPr>
        <w:t xml:space="preserve">, </w:t>
      </w:r>
      <w:r>
        <w:rPr>
          <w:rFonts w:hint="eastAsia" w:ascii="宋体" w:hAnsi="宋体"/>
          <w:color w:val="auto"/>
          <w:sz w:val="24"/>
          <w:szCs w:val="24"/>
        </w:rPr>
        <w:t>等</w:t>
      </w:r>
      <w:r>
        <w:rPr>
          <w:color w:val="auto"/>
          <w:sz w:val="24"/>
          <w:szCs w:val="24"/>
        </w:rPr>
        <w:t xml:space="preserve">. </w:t>
      </w:r>
      <w:r>
        <w:rPr>
          <w:rFonts w:hint="eastAsia" w:ascii="宋体" w:hAnsi="宋体"/>
          <w:color w:val="auto"/>
          <w:sz w:val="24"/>
          <w:szCs w:val="24"/>
        </w:rPr>
        <w:t>草铵膦对油菜种子萌发和根尖细胞遗传毒性的影响</w:t>
      </w:r>
      <w:r>
        <w:rPr>
          <w:color w:val="auto"/>
          <w:sz w:val="24"/>
          <w:szCs w:val="24"/>
        </w:rPr>
        <w:t xml:space="preserve">[J]. </w:t>
      </w:r>
      <w:r>
        <w:rPr>
          <w:rFonts w:hint="eastAsia" w:ascii="宋体" w:hAnsi="宋体"/>
          <w:color w:val="auto"/>
          <w:sz w:val="24"/>
          <w:szCs w:val="24"/>
        </w:rPr>
        <w:t>安徽农业科学</w:t>
      </w:r>
      <w:r>
        <w:rPr>
          <w:color w:val="auto"/>
          <w:sz w:val="24"/>
          <w:szCs w:val="24"/>
        </w:rPr>
        <w:t>, 2018, 46(02): 120-123.</w:t>
      </w:r>
    </w:p>
    <w:p w14:paraId="038A987B">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4"/>
          <w:szCs w:val="24"/>
        </w:rPr>
        <w:t>[</w:t>
      </w:r>
      <w:r>
        <w:rPr>
          <w:rFonts w:hint="eastAsia"/>
          <w:color w:val="auto"/>
          <w:sz w:val="24"/>
          <w:szCs w:val="24"/>
        </w:rPr>
        <w:t>11</w:t>
      </w:r>
      <w:r>
        <w:rPr>
          <w:color w:val="auto"/>
          <w:sz w:val="24"/>
          <w:szCs w:val="24"/>
        </w:rPr>
        <w:t>]</w:t>
      </w:r>
      <w:bookmarkStart w:id="14" w:name="_neb06DCAF04_B331_4655_BBB8_7037AC007738"/>
      <w:bookmarkEnd w:id="14"/>
      <w:r>
        <w:rPr>
          <w:color w:val="auto"/>
          <w:sz w:val="24"/>
          <w:szCs w:val="24"/>
        </w:rPr>
        <w:t>Jia G, Xu J, Long X, et al. Enantioselective Degradation and Chiral Stability of Glufosinate in Soil and Water Samples and Formation of 3-Methylphosphinicopropionic Acid and N-Acetyl-glufosinate Metabolites[J]. Journal of Agricultural and Food Chemistry, 2019, 67(41): 11312-11321.</w:t>
      </w:r>
    </w:p>
    <w:p w14:paraId="2CF9C28E">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4"/>
          <w:szCs w:val="24"/>
        </w:rPr>
      </w:pPr>
      <w:r>
        <w:rPr>
          <w:color w:val="auto"/>
          <w:sz w:val="24"/>
          <w:szCs w:val="24"/>
        </w:rPr>
        <w:t>[</w:t>
      </w:r>
      <w:r>
        <w:rPr>
          <w:rFonts w:hint="eastAsia"/>
          <w:color w:val="auto"/>
          <w:sz w:val="24"/>
          <w:szCs w:val="24"/>
        </w:rPr>
        <w:t>12</w:t>
      </w:r>
      <w:r>
        <w:rPr>
          <w:color w:val="auto"/>
          <w:sz w:val="24"/>
          <w:szCs w:val="24"/>
        </w:rPr>
        <w:t>]</w:t>
      </w:r>
      <w:bookmarkStart w:id="15" w:name="_neb7C495D76_B3A5_48CB_ADEB_24D44AE6B6A6"/>
      <w:bookmarkEnd w:id="15"/>
      <w:r>
        <w:rPr>
          <w:color w:val="auto"/>
          <w:sz w:val="24"/>
          <w:szCs w:val="24"/>
        </w:rPr>
        <w:t>Xie J, Bai X, Li Y, et al. The effect of glufosinate on nitrogen assimilation at the physiological, biochemical and molecular levels in Phaeodactylum tricornutum[J]. Ecotoxicology, 2014, 23(8): 1430-1438.</w:t>
      </w:r>
    </w:p>
    <w:p w14:paraId="3A2886F2">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1</w:t>
      </w:r>
      <w:r>
        <w:rPr>
          <w:rFonts w:hint="default" w:ascii="Times New Roman" w:hAnsi="Times New Roman" w:eastAsia="Times New Roman"/>
          <w:color w:val="auto"/>
          <w:sz w:val="24"/>
          <w:szCs w:val="24"/>
        </w:rPr>
        <w:t>3]</w:t>
      </w:r>
      <w:r>
        <w:rPr>
          <w:rFonts w:hint="default" w:ascii="Times New Roman" w:hAnsi="Times New Roman" w:eastAsia="Times New Roman"/>
          <w:color w:val="auto"/>
          <w:sz w:val="24"/>
          <w:szCs w:val="24"/>
        </w:rPr>
        <w:tab/>
      </w:r>
      <w:bookmarkStart w:id="16" w:name="_neb36B3EAC8_3974_4F6B_9425_0676B793722D"/>
      <w:r>
        <w:rPr>
          <w:rFonts w:hint="eastAsia" w:ascii="宋体" w:hAnsi="宋体"/>
          <w:color w:val="auto"/>
          <w:sz w:val="24"/>
          <w:szCs w:val="24"/>
        </w:rPr>
        <w:t>李小翠</w:t>
      </w:r>
      <w:r>
        <w:rPr>
          <w:rFonts w:hint="default" w:ascii="Times New Roman" w:hAnsi="Times New Roman" w:eastAsia="Times New Roman"/>
          <w:color w:val="auto"/>
          <w:sz w:val="24"/>
          <w:szCs w:val="24"/>
        </w:rPr>
        <w:t xml:space="preserve">. </w:t>
      </w:r>
      <w:r>
        <w:rPr>
          <w:rFonts w:hint="eastAsia" w:ascii="宋体" w:hAnsi="宋体"/>
          <w:color w:val="auto"/>
          <w:sz w:val="24"/>
          <w:szCs w:val="24"/>
        </w:rPr>
        <w:t>草铵膦在大鼠体内毒物代谢动力学研究</w:t>
      </w:r>
      <w:r>
        <w:rPr>
          <w:rFonts w:hint="default" w:ascii="Times New Roman" w:hAnsi="Times New Roman" w:eastAsia="Times New Roman"/>
          <w:color w:val="auto"/>
          <w:sz w:val="24"/>
          <w:szCs w:val="24"/>
        </w:rPr>
        <w:t xml:space="preserve">[D]. </w:t>
      </w:r>
      <w:r>
        <w:rPr>
          <w:rFonts w:hint="eastAsia" w:ascii="宋体" w:hAnsi="宋体"/>
          <w:color w:val="auto"/>
          <w:sz w:val="24"/>
          <w:szCs w:val="24"/>
        </w:rPr>
        <w:t>华中科技大学</w:t>
      </w:r>
      <w:r>
        <w:rPr>
          <w:rFonts w:hint="default" w:ascii="Times New Roman" w:hAnsi="Times New Roman" w:eastAsia="Times New Roman"/>
          <w:color w:val="auto"/>
          <w:sz w:val="24"/>
          <w:szCs w:val="24"/>
        </w:rPr>
        <w:t>, 2012.</w:t>
      </w:r>
      <w:bookmarkEnd w:id="16"/>
    </w:p>
    <w:p w14:paraId="1C76EC04">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1</w:t>
      </w:r>
      <w:r>
        <w:rPr>
          <w:rFonts w:hint="default" w:ascii="Times New Roman" w:hAnsi="Times New Roman" w:eastAsia="Times New Roman"/>
          <w:color w:val="auto"/>
          <w:sz w:val="24"/>
          <w:szCs w:val="24"/>
        </w:rPr>
        <w:t>4]</w:t>
      </w:r>
      <w:r>
        <w:rPr>
          <w:rFonts w:hint="default" w:ascii="Times New Roman" w:hAnsi="Times New Roman" w:eastAsia="Times New Roman"/>
          <w:color w:val="auto"/>
          <w:sz w:val="24"/>
          <w:szCs w:val="24"/>
        </w:rPr>
        <w:tab/>
      </w:r>
      <w:bookmarkStart w:id="17" w:name="_nebC441620F_BA87_40E2_8FE9_CA760A6F4158"/>
      <w:r>
        <w:rPr>
          <w:rFonts w:hint="eastAsia" w:ascii="宋体" w:hAnsi="宋体"/>
          <w:color w:val="auto"/>
          <w:sz w:val="24"/>
          <w:szCs w:val="24"/>
        </w:rPr>
        <w:t>肖龙</w:t>
      </w:r>
      <w:r>
        <w:rPr>
          <w:rFonts w:hint="default" w:ascii="Times New Roman" w:hAnsi="Times New Roman" w:eastAsia="Times New Roman"/>
          <w:color w:val="auto"/>
          <w:sz w:val="24"/>
          <w:szCs w:val="24"/>
        </w:rPr>
        <w:t xml:space="preserve">, </w:t>
      </w:r>
      <w:r>
        <w:rPr>
          <w:rFonts w:hint="eastAsia" w:ascii="宋体" w:hAnsi="宋体"/>
          <w:color w:val="auto"/>
          <w:sz w:val="24"/>
          <w:szCs w:val="24"/>
        </w:rPr>
        <w:t>高应美</w:t>
      </w:r>
      <w:r>
        <w:rPr>
          <w:rFonts w:hint="default" w:ascii="Times New Roman" w:hAnsi="Times New Roman" w:eastAsia="Times New Roman"/>
          <w:color w:val="auto"/>
          <w:sz w:val="24"/>
          <w:szCs w:val="24"/>
        </w:rPr>
        <w:t xml:space="preserve">, </w:t>
      </w:r>
      <w:r>
        <w:rPr>
          <w:rFonts w:hint="eastAsia" w:ascii="宋体" w:hAnsi="宋体"/>
          <w:color w:val="auto"/>
          <w:sz w:val="24"/>
          <w:szCs w:val="24"/>
        </w:rPr>
        <w:t>梁应鲜</w:t>
      </w:r>
      <w:r>
        <w:rPr>
          <w:rFonts w:hint="default" w:ascii="Times New Roman" w:hAnsi="Times New Roman" w:eastAsia="Times New Roman"/>
          <w:color w:val="auto"/>
          <w:sz w:val="24"/>
          <w:szCs w:val="24"/>
        </w:rPr>
        <w:t xml:space="preserve">, </w:t>
      </w:r>
      <w:r>
        <w:rPr>
          <w:rFonts w:hint="eastAsia" w:ascii="宋体" w:hAnsi="宋体"/>
          <w:color w:val="auto"/>
          <w:sz w:val="24"/>
          <w:szCs w:val="24"/>
        </w:rPr>
        <w:t>等</w:t>
      </w:r>
      <w:r>
        <w:rPr>
          <w:rFonts w:hint="default" w:ascii="Times New Roman" w:hAnsi="Times New Roman" w:eastAsia="Times New Roman"/>
          <w:color w:val="auto"/>
          <w:sz w:val="24"/>
          <w:szCs w:val="24"/>
        </w:rPr>
        <w:t xml:space="preserve">. </w:t>
      </w:r>
      <w:r>
        <w:rPr>
          <w:rFonts w:hint="eastAsia" w:ascii="宋体" w:hAnsi="宋体"/>
          <w:color w:val="auto"/>
          <w:sz w:val="24"/>
          <w:szCs w:val="24"/>
        </w:rPr>
        <w:t>除草剂敌草快和草铵膦对中华鳑鲏鱼的急性毒性效应</w:t>
      </w:r>
      <w:r>
        <w:rPr>
          <w:rFonts w:hint="default" w:ascii="Times New Roman" w:hAnsi="Times New Roman" w:eastAsia="Times New Roman"/>
          <w:color w:val="auto"/>
          <w:sz w:val="24"/>
          <w:szCs w:val="24"/>
        </w:rPr>
        <w:t xml:space="preserve">[J]. </w:t>
      </w:r>
      <w:r>
        <w:rPr>
          <w:rFonts w:hint="eastAsia" w:ascii="宋体" w:hAnsi="宋体"/>
          <w:color w:val="auto"/>
          <w:sz w:val="24"/>
          <w:szCs w:val="24"/>
        </w:rPr>
        <w:t>贵州师范学院学报</w:t>
      </w:r>
      <w:r>
        <w:rPr>
          <w:rFonts w:hint="default" w:ascii="Times New Roman" w:hAnsi="Times New Roman" w:eastAsia="Times New Roman"/>
          <w:color w:val="auto"/>
          <w:sz w:val="24"/>
          <w:szCs w:val="24"/>
        </w:rPr>
        <w:t>, 2019, 35(12): 16-19.</w:t>
      </w:r>
      <w:bookmarkEnd w:id="17"/>
    </w:p>
    <w:p w14:paraId="67B97AAE">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1</w:t>
      </w:r>
      <w:r>
        <w:rPr>
          <w:rFonts w:hint="default" w:ascii="Times New Roman" w:hAnsi="Times New Roman" w:eastAsia="Times New Roman"/>
          <w:color w:val="auto"/>
          <w:sz w:val="24"/>
          <w:szCs w:val="24"/>
        </w:rPr>
        <w:t>5]</w:t>
      </w:r>
      <w:r>
        <w:rPr>
          <w:rFonts w:hint="default" w:ascii="Times New Roman" w:hAnsi="Times New Roman" w:eastAsia="Times New Roman"/>
          <w:color w:val="auto"/>
          <w:sz w:val="24"/>
          <w:szCs w:val="24"/>
        </w:rPr>
        <w:tab/>
      </w:r>
      <w:bookmarkStart w:id="18" w:name="_neb60A500C5_CE45_4A1F_AEC9_BAE7C94858B7"/>
      <w:r>
        <w:rPr>
          <w:rFonts w:hint="eastAsia" w:ascii="宋体" w:hAnsi="宋体"/>
          <w:color w:val="auto"/>
          <w:sz w:val="24"/>
          <w:szCs w:val="24"/>
        </w:rPr>
        <w:t>何文美</w:t>
      </w:r>
      <w:r>
        <w:rPr>
          <w:rFonts w:hint="default" w:ascii="Times New Roman" w:hAnsi="Times New Roman" w:eastAsia="Times New Roman"/>
          <w:color w:val="auto"/>
          <w:sz w:val="24"/>
          <w:szCs w:val="24"/>
        </w:rPr>
        <w:t xml:space="preserve">, </w:t>
      </w:r>
      <w:r>
        <w:rPr>
          <w:rFonts w:hint="eastAsia" w:ascii="宋体" w:hAnsi="宋体"/>
          <w:color w:val="auto"/>
          <w:sz w:val="24"/>
          <w:szCs w:val="24"/>
        </w:rPr>
        <w:t>赖娴娴</w:t>
      </w:r>
      <w:r>
        <w:rPr>
          <w:rFonts w:hint="default" w:ascii="Times New Roman" w:hAnsi="Times New Roman" w:eastAsia="Times New Roman"/>
          <w:color w:val="auto"/>
          <w:sz w:val="24"/>
          <w:szCs w:val="24"/>
        </w:rPr>
        <w:t xml:space="preserve">, </w:t>
      </w:r>
      <w:r>
        <w:rPr>
          <w:rFonts w:hint="eastAsia" w:ascii="宋体" w:hAnsi="宋体"/>
          <w:color w:val="auto"/>
          <w:sz w:val="24"/>
          <w:szCs w:val="24"/>
        </w:rPr>
        <w:t>蒋燕茹</w:t>
      </w:r>
      <w:r>
        <w:rPr>
          <w:rFonts w:hint="default" w:ascii="Times New Roman" w:hAnsi="Times New Roman" w:eastAsia="Times New Roman"/>
          <w:color w:val="auto"/>
          <w:sz w:val="24"/>
          <w:szCs w:val="24"/>
        </w:rPr>
        <w:t xml:space="preserve">, </w:t>
      </w:r>
      <w:r>
        <w:rPr>
          <w:rFonts w:hint="eastAsia" w:ascii="宋体" w:hAnsi="宋体"/>
          <w:color w:val="auto"/>
          <w:sz w:val="24"/>
          <w:szCs w:val="24"/>
        </w:rPr>
        <w:t>等</w:t>
      </w:r>
      <w:r>
        <w:rPr>
          <w:rFonts w:hint="default" w:ascii="Times New Roman" w:hAnsi="Times New Roman" w:eastAsia="Times New Roman"/>
          <w:color w:val="auto"/>
          <w:sz w:val="24"/>
          <w:szCs w:val="24"/>
        </w:rPr>
        <w:t xml:space="preserve">. </w:t>
      </w:r>
      <w:r>
        <w:rPr>
          <w:rFonts w:hint="eastAsia" w:ascii="宋体" w:hAnsi="宋体"/>
          <w:color w:val="auto"/>
          <w:sz w:val="24"/>
          <w:szCs w:val="24"/>
        </w:rPr>
        <w:t>四种有机磷农药对大型蚤的急性毒性研究</w:t>
      </w:r>
      <w:r>
        <w:rPr>
          <w:rFonts w:hint="default" w:ascii="Times New Roman" w:hAnsi="Times New Roman" w:eastAsia="Times New Roman"/>
          <w:color w:val="auto"/>
          <w:sz w:val="24"/>
          <w:szCs w:val="24"/>
        </w:rPr>
        <w:t xml:space="preserve">[J]. </w:t>
      </w:r>
      <w:r>
        <w:rPr>
          <w:rFonts w:hint="eastAsia" w:ascii="宋体" w:hAnsi="宋体"/>
          <w:color w:val="auto"/>
          <w:sz w:val="24"/>
          <w:szCs w:val="24"/>
        </w:rPr>
        <w:t>广东化工</w:t>
      </w:r>
      <w:r>
        <w:rPr>
          <w:rFonts w:hint="default" w:ascii="Times New Roman" w:hAnsi="Times New Roman" w:eastAsia="Times New Roman"/>
          <w:color w:val="auto"/>
          <w:sz w:val="24"/>
          <w:szCs w:val="24"/>
        </w:rPr>
        <w:t>, 2023, 50(01): 1-3.</w:t>
      </w:r>
      <w:bookmarkEnd w:id="18"/>
    </w:p>
    <w:p w14:paraId="21A3FF9D">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1</w:t>
      </w:r>
      <w:r>
        <w:rPr>
          <w:rFonts w:hint="default" w:ascii="Times New Roman" w:hAnsi="Times New Roman" w:eastAsia="Times New Roman"/>
          <w:color w:val="auto"/>
          <w:sz w:val="24"/>
          <w:szCs w:val="24"/>
        </w:rPr>
        <w:t>6]</w:t>
      </w:r>
      <w:r>
        <w:rPr>
          <w:rFonts w:hint="default" w:ascii="Times New Roman" w:hAnsi="Times New Roman" w:eastAsia="Times New Roman"/>
          <w:color w:val="auto"/>
          <w:sz w:val="24"/>
          <w:szCs w:val="24"/>
        </w:rPr>
        <w:tab/>
      </w:r>
      <w:bookmarkStart w:id="19" w:name="_nebEE30EF3A_5FD0_496B_AA96_7A88790E01D2"/>
      <w:r>
        <w:rPr>
          <w:rFonts w:hint="eastAsia" w:ascii="宋体" w:hAnsi="宋体"/>
          <w:color w:val="auto"/>
          <w:sz w:val="24"/>
          <w:szCs w:val="24"/>
        </w:rPr>
        <w:t>彭晓波</w:t>
      </w:r>
      <w:r>
        <w:rPr>
          <w:rFonts w:hint="default" w:ascii="Times New Roman" w:hAnsi="Times New Roman" w:eastAsia="Times New Roman"/>
          <w:color w:val="auto"/>
          <w:sz w:val="24"/>
          <w:szCs w:val="24"/>
        </w:rPr>
        <w:t xml:space="preserve">, </w:t>
      </w:r>
      <w:r>
        <w:rPr>
          <w:rFonts w:hint="eastAsia" w:ascii="宋体" w:hAnsi="宋体"/>
          <w:color w:val="auto"/>
          <w:sz w:val="24"/>
          <w:szCs w:val="24"/>
        </w:rPr>
        <w:t>刘仲英</w:t>
      </w:r>
      <w:r>
        <w:rPr>
          <w:rFonts w:hint="default" w:ascii="Times New Roman" w:hAnsi="Times New Roman" w:eastAsia="Times New Roman"/>
          <w:color w:val="auto"/>
          <w:sz w:val="24"/>
          <w:szCs w:val="24"/>
        </w:rPr>
        <w:t xml:space="preserve">, </w:t>
      </w:r>
      <w:r>
        <w:rPr>
          <w:rFonts w:hint="eastAsia" w:ascii="宋体" w:hAnsi="宋体"/>
          <w:color w:val="auto"/>
          <w:sz w:val="24"/>
          <w:szCs w:val="24"/>
        </w:rPr>
        <w:t>白丽丽</w:t>
      </w:r>
      <w:r>
        <w:rPr>
          <w:rFonts w:hint="default" w:ascii="Times New Roman" w:hAnsi="Times New Roman" w:eastAsia="Times New Roman"/>
          <w:color w:val="auto"/>
          <w:sz w:val="24"/>
          <w:szCs w:val="24"/>
        </w:rPr>
        <w:t xml:space="preserve">, </w:t>
      </w:r>
      <w:r>
        <w:rPr>
          <w:rFonts w:hint="eastAsia" w:ascii="宋体" w:hAnsi="宋体"/>
          <w:color w:val="auto"/>
          <w:sz w:val="24"/>
          <w:szCs w:val="24"/>
        </w:rPr>
        <w:t>等</w:t>
      </w:r>
      <w:r>
        <w:rPr>
          <w:rFonts w:hint="default" w:ascii="Times New Roman" w:hAnsi="Times New Roman" w:eastAsia="Times New Roman"/>
          <w:color w:val="auto"/>
          <w:sz w:val="24"/>
          <w:szCs w:val="24"/>
        </w:rPr>
        <w:t xml:space="preserve">. </w:t>
      </w:r>
      <w:r>
        <w:rPr>
          <w:rFonts w:hint="eastAsia" w:ascii="宋体" w:hAnsi="宋体"/>
          <w:color w:val="auto"/>
          <w:sz w:val="24"/>
          <w:szCs w:val="24"/>
        </w:rPr>
        <w:t>急性草甘膦与草铵膦中毒</w:t>
      </w:r>
      <w:r>
        <w:rPr>
          <w:rFonts w:hint="default" w:ascii="Times New Roman" w:hAnsi="Times New Roman" w:eastAsia="Times New Roman"/>
          <w:color w:val="auto"/>
          <w:sz w:val="24"/>
          <w:szCs w:val="24"/>
        </w:rPr>
        <w:t>23</w:t>
      </w:r>
      <w:r>
        <w:rPr>
          <w:rFonts w:hint="eastAsia" w:ascii="宋体" w:hAnsi="宋体"/>
          <w:color w:val="auto"/>
          <w:sz w:val="24"/>
          <w:szCs w:val="24"/>
        </w:rPr>
        <w:t>例临床分析</w:t>
      </w:r>
      <w:r>
        <w:rPr>
          <w:rFonts w:hint="default" w:ascii="Times New Roman" w:hAnsi="Times New Roman" w:eastAsia="Times New Roman"/>
          <w:color w:val="auto"/>
          <w:sz w:val="24"/>
          <w:szCs w:val="24"/>
        </w:rPr>
        <w:t xml:space="preserve">[J]. </w:t>
      </w:r>
      <w:r>
        <w:rPr>
          <w:rFonts w:hint="eastAsia" w:ascii="宋体" w:hAnsi="宋体"/>
          <w:color w:val="auto"/>
          <w:sz w:val="24"/>
          <w:szCs w:val="24"/>
        </w:rPr>
        <w:t>灾害医学与救援</w:t>
      </w:r>
      <w:r>
        <w:rPr>
          <w:rFonts w:hint="default" w:ascii="Times New Roman" w:hAnsi="Times New Roman" w:eastAsia="Times New Roman"/>
          <w:color w:val="auto"/>
          <w:sz w:val="24"/>
          <w:szCs w:val="24"/>
        </w:rPr>
        <w:t>(</w:t>
      </w:r>
      <w:r>
        <w:rPr>
          <w:rFonts w:hint="eastAsia" w:ascii="宋体" w:hAnsi="宋体"/>
          <w:color w:val="auto"/>
          <w:sz w:val="24"/>
          <w:szCs w:val="24"/>
        </w:rPr>
        <w:t>电子版</w:t>
      </w:r>
      <w:r>
        <w:rPr>
          <w:rFonts w:hint="default" w:ascii="Times New Roman" w:hAnsi="Times New Roman" w:eastAsia="Times New Roman"/>
          <w:color w:val="auto"/>
          <w:sz w:val="24"/>
          <w:szCs w:val="24"/>
        </w:rPr>
        <w:t>), 2017, 6(03): 159-161.</w:t>
      </w:r>
      <w:bookmarkEnd w:id="19"/>
    </w:p>
    <w:p w14:paraId="77B337D8">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1</w:t>
      </w:r>
      <w:r>
        <w:rPr>
          <w:rFonts w:hint="default" w:ascii="Times New Roman" w:hAnsi="Times New Roman" w:eastAsia="Times New Roman"/>
          <w:color w:val="auto"/>
          <w:sz w:val="24"/>
          <w:szCs w:val="24"/>
        </w:rPr>
        <w:t>7]</w:t>
      </w:r>
      <w:r>
        <w:rPr>
          <w:rFonts w:hint="default" w:ascii="Times New Roman" w:hAnsi="Times New Roman" w:eastAsia="Times New Roman"/>
          <w:color w:val="auto"/>
          <w:sz w:val="24"/>
          <w:szCs w:val="24"/>
        </w:rPr>
        <w:tab/>
      </w:r>
      <w:bookmarkStart w:id="20" w:name="_nebDFFC8C79_17FE_47EE_BECD_B7DBEF2F8651"/>
      <w:r>
        <w:rPr>
          <w:rFonts w:hint="eastAsia" w:ascii="宋体" w:hAnsi="宋体"/>
          <w:color w:val="auto"/>
          <w:sz w:val="24"/>
          <w:szCs w:val="24"/>
        </w:rPr>
        <w:t>罗毅沣</w:t>
      </w:r>
      <w:r>
        <w:rPr>
          <w:rFonts w:hint="default" w:ascii="Times New Roman" w:hAnsi="Times New Roman" w:eastAsia="Times New Roman"/>
          <w:color w:val="auto"/>
          <w:sz w:val="24"/>
          <w:szCs w:val="24"/>
        </w:rPr>
        <w:t xml:space="preserve">, </w:t>
      </w:r>
      <w:r>
        <w:rPr>
          <w:rFonts w:hint="eastAsia" w:ascii="宋体" w:hAnsi="宋体"/>
          <w:color w:val="auto"/>
          <w:sz w:val="24"/>
          <w:szCs w:val="24"/>
        </w:rPr>
        <w:t>张剑锋</w:t>
      </w:r>
      <w:r>
        <w:rPr>
          <w:rFonts w:hint="default" w:ascii="Times New Roman" w:hAnsi="Times New Roman" w:eastAsia="Times New Roman"/>
          <w:color w:val="auto"/>
          <w:sz w:val="24"/>
          <w:szCs w:val="24"/>
        </w:rPr>
        <w:t xml:space="preserve">. </w:t>
      </w:r>
      <w:r>
        <w:rPr>
          <w:rFonts w:hint="eastAsia" w:ascii="宋体" w:hAnsi="宋体"/>
          <w:color w:val="auto"/>
          <w:sz w:val="24"/>
          <w:szCs w:val="24"/>
        </w:rPr>
        <w:t>急性草铵膦中毒一例报道并文献复习</w:t>
      </w:r>
      <w:r>
        <w:rPr>
          <w:rFonts w:hint="default" w:ascii="Times New Roman" w:hAnsi="Times New Roman" w:eastAsia="Times New Roman"/>
          <w:color w:val="auto"/>
          <w:sz w:val="24"/>
          <w:szCs w:val="24"/>
        </w:rPr>
        <w:t xml:space="preserve">[J]. </w:t>
      </w:r>
      <w:r>
        <w:rPr>
          <w:rFonts w:hint="eastAsia" w:ascii="宋体" w:hAnsi="宋体"/>
          <w:color w:val="auto"/>
          <w:sz w:val="24"/>
          <w:szCs w:val="24"/>
        </w:rPr>
        <w:t>中华灾害救援医学</w:t>
      </w:r>
      <w:r>
        <w:rPr>
          <w:rFonts w:hint="default" w:ascii="Times New Roman" w:hAnsi="Times New Roman" w:eastAsia="Times New Roman"/>
          <w:color w:val="auto"/>
          <w:sz w:val="24"/>
          <w:szCs w:val="24"/>
        </w:rPr>
        <w:t>, 2021, 9(08): 1194-1196.</w:t>
      </w:r>
      <w:bookmarkEnd w:id="20"/>
    </w:p>
    <w:p w14:paraId="547C0818">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1</w:t>
      </w:r>
      <w:r>
        <w:rPr>
          <w:rFonts w:hint="default" w:ascii="Times New Roman" w:hAnsi="Times New Roman" w:eastAsia="Times New Roman"/>
          <w:color w:val="auto"/>
          <w:sz w:val="24"/>
          <w:szCs w:val="24"/>
        </w:rPr>
        <w:t>8]</w:t>
      </w:r>
      <w:r>
        <w:rPr>
          <w:rFonts w:hint="default" w:ascii="Times New Roman" w:hAnsi="Times New Roman" w:eastAsia="Times New Roman"/>
          <w:color w:val="auto"/>
          <w:sz w:val="24"/>
          <w:szCs w:val="24"/>
        </w:rPr>
        <w:tab/>
      </w:r>
      <w:bookmarkStart w:id="21" w:name="_neb92C0AF7E_D4C5_4F30_9CBA_866135AB06A9"/>
      <w:r>
        <w:rPr>
          <w:rFonts w:hint="default" w:ascii="Times New Roman" w:hAnsi="Times New Roman" w:eastAsia="Times New Roman"/>
          <w:color w:val="auto"/>
          <w:sz w:val="24"/>
          <w:szCs w:val="24"/>
        </w:rPr>
        <w:t>Ebert E, Leist K H, Mayer D. Summary of safety evaluation toxicity studies of glufosinate ammonium[J]. Food Chem Toxicol, 1990, 28(5): 339-349.</w:t>
      </w:r>
      <w:bookmarkEnd w:id="21"/>
    </w:p>
    <w:p w14:paraId="619C8C44">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1</w:t>
      </w:r>
      <w:r>
        <w:rPr>
          <w:rFonts w:hint="default" w:ascii="Times New Roman" w:hAnsi="Times New Roman" w:eastAsia="Times New Roman"/>
          <w:color w:val="auto"/>
          <w:sz w:val="24"/>
          <w:szCs w:val="24"/>
        </w:rPr>
        <w:t>9]</w:t>
      </w:r>
      <w:r>
        <w:rPr>
          <w:rFonts w:hint="default" w:ascii="Times New Roman" w:hAnsi="Times New Roman" w:eastAsia="Times New Roman"/>
          <w:color w:val="auto"/>
          <w:sz w:val="24"/>
          <w:szCs w:val="24"/>
        </w:rPr>
        <w:tab/>
      </w:r>
      <w:bookmarkStart w:id="22" w:name="_nebA8FBEC2F_E3EE_4383_9C69_BA1FFE84010D"/>
      <w:r>
        <w:rPr>
          <w:rFonts w:hint="default" w:ascii="Times New Roman" w:hAnsi="Times New Roman" w:eastAsia="Times New Roman"/>
          <w:color w:val="auto"/>
          <w:sz w:val="24"/>
          <w:szCs w:val="24"/>
        </w:rPr>
        <w:t>Cuzziol Boccioni A P, Lener G, Peluso J, et al. Comparative assessment of individual and mixture chronic toxicity of glyphosate and glufosinate ammonium on amphibian tadpoles: A multibiomarker approach[J]. Chemosphere, 2022, 309: 136554.</w:t>
      </w:r>
      <w:bookmarkEnd w:id="22"/>
    </w:p>
    <w:p w14:paraId="4F8AE2EC">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2</w:t>
      </w:r>
      <w:r>
        <w:rPr>
          <w:rFonts w:hint="default" w:ascii="Times New Roman" w:hAnsi="Times New Roman" w:eastAsia="Times New Roman"/>
          <w:color w:val="auto"/>
          <w:sz w:val="24"/>
          <w:szCs w:val="24"/>
        </w:rPr>
        <w:t>0]</w:t>
      </w:r>
      <w:r>
        <w:rPr>
          <w:rFonts w:hint="default" w:ascii="Times New Roman" w:hAnsi="Times New Roman" w:eastAsia="Times New Roman"/>
          <w:color w:val="auto"/>
          <w:sz w:val="24"/>
          <w:szCs w:val="24"/>
        </w:rPr>
        <w:tab/>
      </w:r>
      <w:bookmarkStart w:id="23" w:name="_nebF3378BE9_1826_4045_ABBF_8C7BCBD35518"/>
      <w:r>
        <w:rPr>
          <w:rFonts w:hint="default" w:ascii="Times New Roman" w:hAnsi="Times New Roman" w:eastAsia="Times New Roman"/>
          <w:color w:val="auto"/>
          <w:sz w:val="24"/>
          <w:szCs w:val="24"/>
        </w:rPr>
        <w:t>Kim K, Kwak Y, Han S, et al. Impairment of motor coordination and interneuron migration in perinatal exposure to glufosinate-ammonium[J]. Scientific Reports, 2020, 10(1).</w:t>
      </w:r>
      <w:bookmarkEnd w:id="23"/>
    </w:p>
    <w:p w14:paraId="338A4C6F">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2</w:t>
      </w:r>
      <w:r>
        <w:rPr>
          <w:rFonts w:hint="default" w:ascii="Times New Roman" w:hAnsi="Times New Roman" w:eastAsia="Times New Roman"/>
          <w:color w:val="auto"/>
          <w:sz w:val="24"/>
          <w:szCs w:val="24"/>
        </w:rPr>
        <w:t>1]</w:t>
      </w:r>
      <w:r>
        <w:rPr>
          <w:rFonts w:hint="default" w:ascii="Times New Roman" w:hAnsi="Times New Roman" w:eastAsia="Times New Roman"/>
          <w:color w:val="auto"/>
          <w:sz w:val="24"/>
          <w:szCs w:val="24"/>
        </w:rPr>
        <w:tab/>
      </w:r>
      <w:bookmarkStart w:id="24" w:name="_neb9F13B6A6_4E6A_486C_9387_937D1B7583F1"/>
      <w:r>
        <w:rPr>
          <w:rFonts w:hint="default" w:ascii="Times New Roman" w:hAnsi="Times New Roman" w:eastAsia="Times New Roman"/>
          <w:color w:val="auto"/>
          <w:sz w:val="24"/>
          <w:szCs w:val="24"/>
        </w:rPr>
        <w:t>Watanabe T, Iwase T. Developmental and dysmorphogenic effects of glufosinate ammonium on mouse embryos  in culture[J]. Teratog Carcinog Mutagen, 1996, 16(6): 287-299.</w:t>
      </w:r>
      <w:bookmarkEnd w:id="24"/>
    </w:p>
    <w:p w14:paraId="640D96A4">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2</w:t>
      </w:r>
      <w:r>
        <w:rPr>
          <w:rFonts w:hint="default" w:ascii="Times New Roman" w:hAnsi="Times New Roman" w:eastAsia="Times New Roman"/>
          <w:color w:val="auto"/>
          <w:sz w:val="24"/>
          <w:szCs w:val="24"/>
        </w:rPr>
        <w:t>2]</w:t>
      </w:r>
      <w:r>
        <w:rPr>
          <w:rFonts w:hint="default" w:ascii="Times New Roman" w:hAnsi="Times New Roman" w:eastAsia="Times New Roman"/>
          <w:color w:val="auto"/>
          <w:sz w:val="24"/>
          <w:szCs w:val="24"/>
        </w:rPr>
        <w:tab/>
      </w:r>
      <w:bookmarkStart w:id="25" w:name="_neb114D2575_1019_4798_8FC8_002F4274F6C3"/>
      <w:r>
        <w:rPr>
          <w:rFonts w:hint="default" w:ascii="Times New Roman" w:hAnsi="Times New Roman" w:eastAsia="Times New Roman"/>
          <w:color w:val="auto"/>
          <w:sz w:val="24"/>
          <w:szCs w:val="24"/>
        </w:rPr>
        <w:t>Laugeray A, Herzine A, Perche O, et al. Pre- and Postnatal Exposure to Low Dose Glufosinate Ammonium Induces Autism-Like Phenotypes in Mice[J]. Frontiers in Behavioral Neuroscience, 2014, 8.</w:t>
      </w:r>
      <w:bookmarkEnd w:id="25"/>
    </w:p>
    <w:p w14:paraId="38BAF674">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2</w:t>
      </w:r>
      <w:r>
        <w:rPr>
          <w:rFonts w:hint="default" w:ascii="Times New Roman" w:hAnsi="Times New Roman" w:eastAsia="Times New Roman"/>
          <w:color w:val="auto"/>
          <w:sz w:val="24"/>
          <w:szCs w:val="24"/>
        </w:rPr>
        <w:t>3]</w:t>
      </w:r>
      <w:r>
        <w:rPr>
          <w:rFonts w:hint="default" w:ascii="Times New Roman" w:hAnsi="Times New Roman" w:eastAsia="Times New Roman"/>
          <w:color w:val="auto"/>
          <w:sz w:val="24"/>
          <w:szCs w:val="24"/>
        </w:rPr>
        <w:tab/>
      </w:r>
      <w:bookmarkStart w:id="26" w:name="_neb13FF19FE_9566_44C1_8520_6E8A60B10D5F"/>
      <w:r>
        <w:rPr>
          <w:rFonts w:hint="default" w:ascii="Times New Roman" w:hAnsi="Times New Roman" w:eastAsia="Times New Roman"/>
          <w:color w:val="auto"/>
          <w:sz w:val="24"/>
          <w:szCs w:val="24"/>
        </w:rPr>
        <w:t>çomaklı S, Sevim Ç, Kontadakis G, et al. Acute glufosinate-based herbicide treatment in rats leads to increased ocular interleukin-1</w:t>
      </w:r>
      <w:r>
        <w:rPr>
          <w:rFonts w:hint="eastAsia" w:ascii="宋体" w:hAnsi="宋体"/>
          <w:color w:val="auto"/>
          <w:sz w:val="24"/>
          <w:szCs w:val="24"/>
        </w:rPr>
        <w:t>β</w:t>
      </w:r>
      <w:r>
        <w:rPr>
          <w:rFonts w:hint="default" w:ascii="Times New Roman" w:hAnsi="Times New Roman" w:eastAsia="Times New Roman"/>
          <w:color w:val="auto"/>
          <w:sz w:val="24"/>
          <w:szCs w:val="24"/>
        </w:rPr>
        <w:t xml:space="preserve"> and c-Fos protein levels, as well as intraocular pressure[J]. Toxicology Reports, 2019, 6: 155-160.</w:t>
      </w:r>
      <w:bookmarkEnd w:id="26"/>
    </w:p>
    <w:p w14:paraId="2A764C78">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2</w:t>
      </w:r>
      <w:r>
        <w:rPr>
          <w:rFonts w:hint="default" w:ascii="Times New Roman" w:hAnsi="Times New Roman" w:eastAsia="Times New Roman"/>
          <w:color w:val="auto"/>
          <w:sz w:val="24"/>
          <w:szCs w:val="24"/>
        </w:rPr>
        <w:t>4]</w:t>
      </w:r>
      <w:r>
        <w:rPr>
          <w:rFonts w:hint="default" w:ascii="Times New Roman" w:hAnsi="Times New Roman" w:eastAsia="Times New Roman"/>
          <w:color w:val="auto"/>
          <w:sz w:val="24"/>
          <w:szCs w:val="24"/>
        </w:rPr>
        <w:tab/>
      </w:r>
      <w:bookmarkStart w:id="27" w:name="_nebADD340A2_1510_4634_BF19_C74F4AF182E6"/>
      <w:r>
        <w:rPr>
          <w:rFonts w:hint="default" w:ascii="Times New Roman" w:hAnsi="Times New Roman" w:eastAsia="Times New Roman"/>
          <w:color w:val="auto"/>
          <w:sz w:val="24"/>
          <w:szCs w:val="24"/>
        </w:rPr>
        <w:t>Zhang L, Chen L, Meng Z, et al. Bioaccumulation, behavior changes and physiological disruptions with gender-dependent in lizards (Eremias argus) after exposure to glufosinate-ammonium and l-glufosinate-ammonium[J]. Chemosphere, 2019, 226: 817-824.</w:t>
      </w:r>
      <w:bookmarkEnd w:id="27"/>
    </w:p>
    <w:p w14:paraId="6662DDC1">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2</w:t>
      </w:r>
      <w:r>
        <w:rPr>
          <w:rFonts w:hint="default" w:ascii="Times New Roman" w:hAnsi="Times New Roman" w:eastAsia="Times New Roman"/>
          <w:color w:val="auto"/>
          <w:sz w:val="24"/>
          <w:szCs w:val="24"/>
        </w:rPr>
        <w:t>5]</w:t>
      </w:r>
      <w:r>
        <w:rPr>
          <w:rFonts w:hint="default" w:ascii="Times New Roman" w:hAnsi="Times New Roman" w:eastAsia="Times New Roman"/>
          <w:color w:val="auto"/>
          <w:sz w:val="24"/>
          <w:szCs w:val="24"/>
        </w:rPr>
        <w:tab/>
      </w:r>
      <w:bookmarkStart w:id="28" w:name="_nebC2C2A645_4DA2_4C5C_A7CD_2BB3FF078E2A"/>
      <w:r>
        <w:rPr>
          <w:rFonts w:hint="default" w:ascii="Times New Roman" w:hAnsi="Times New Roman" w:eastAsia="Times New Roman"/>
          <w:color w:val="auto"/>
          <w:sz w:val="24"/>
          <w:szCs w:val="24"/>
        </w:rPr>
        <w:t>Calas A, Richard O, Même S, et al. Chronic exposure to glufosinate-ammonium induces spatial memory impairments, hippocampal MRI modifications and glutamine synthetase activation in mice[J]. NeuroToxicology, 2008, 29(4): 740-747.</w:t>
      </w:r>
      <w:bookmarkEnd w:id="28"/>
    </w:p>
    <w:p w14:paraId="0C3C34F2">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2</w:t>
      </w:r>
      <w:r>
        <w:rPr>
          <w:rFonts w:hint="default" w:ascii="Times New Roman" w:hAnsi="Times New Roman" w:eastAsia="Times New Roman"/>
          <w:color w:val="auto"/>
          <w:sz w:val="24"/>
          <w:szCs w:val="24"/>
        </w:rPr>
        <w:t>6]</w:t>
      </w:r>
      <w:r>
        <w:rPr>
          <w:rFonts w:hint="default" w:ascii="Times New Roman" w:hAnsi="Times New Roman" w:eastAsia="Times New Roman"/>
          <w:color w:val="auto"/>
          <w:sz w:val="24"/>
          <w:szCs w:val="24"/>
        </w:rPr>
        <w:tab/>
      </w:r>
      <w:bookmarkStart w:id="29" w:name="_neb7AD2E1EF_9DBE_4177_AE54_03EB776DBFF4"/>
      <w:r>
        <w:rPr>
          <w:rFonts w:hint="default" w:ascii="Times New Roman" w:hAnsi="Times New Roman" w:eastAsia="Times New Roman"/>
          <w:color w:val="auto"/>
          <w:sz w:val="24"/>
          <w:szCs w:val="24"/>
        </w:rPr>
        <w:t>Glufosinate-based herbicide toxicity cause increase cleaved caspase 3 in rat liver[J]. 2018.</w:t>
      </w:r>
      <w:bookmarkEnd w:id="29"/>
    </w:p>
    <w:p w14:paraId="3B894DC1">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2</w:t>
      </w:r>
      <w:r>
        <w:rPr>
          <w:rFonts w:hint="default" w:ascii="Times New Roman" w:hAnsi="Times New Roman" w:eastAsia="Times New Roman"/>
          <w:color w:val="auto"/>
          <w:sz w:val="24"/>
          <w:szCs w:val="24"/>
        </w:rPr>
        <w:t>7]</w:t>
      </w:r>
      <w:r>
        <w:rPr>
          <w:rFonts w:hint="default" w:ascii="Times New Roman" w:hAnsi="Times New Roman" w:eastAsia="Times New Roman"/>
          <w:color w:val="auto"/>
          <w:sz w:val="24"/>
          <w:szCs w:val="24"/>
        </w:rPr>
        <w:tab/>
      </w:r>
      <w:bookmarkStart w:id="30" w:name="_neb27DB4DC9_F638_45D4_8E08_34328702973F"/>
      <w:r>
        <w:rPr>
          <w:rFonts w:hint="default" w:ascii="Times New Roman" w:hAnsi="Times New Roman" w:eastAsia="Times New Roman"/>
          <w:color w:val="auto"/>
          <w:sz w:val="24"/>
          <w:szCs w:val="24"/>
        </w:rPr>
        <w:t>Ma X, Fan Y, Xiao W, et al. Glufosinate-Ammonium Induced Aberrant Histone Modifications in Mouse Sperm Are  Concordant With Transcriptome in Preimplantation Embryos[J]. Front Physiol, 2021, 12: 819856.</w:t>
      </w:r>
      <w:bookmarkEnd w:id="30"/>
    </w:p>
    <w:p w14:paraId="3DFE961E">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2</w:t>
      </w:r>
      <w:r>
        <w:rPr>
          <w:rFonts w:hint="default" w:ascii="Times New Roman" w:hAnsi="Times New Roman" w:eastAsia="Times New Roman"/>
          <w:color w:val="auto"/>
          <w:sz w:val="24"/>
          <w:szCs w:val="24"/>
        </w:rPr>
        <w:t>8]</w:t>
      </w:r>
      <w:r>
        <w:rPr>
          <w:rFonts w:hint="default" w:ascii="Times New Roman" w:hAnsi="Times New Roman" w:eastAsia="Times New Roman"/>
          <w:color w:val="auto"/>
          <w:sz w:val="24"/>
          <w:szCs w:val="24"/>
        </w:rPr>
        <w:tab/>
      </w:r>
      <w:bookmarkStart w:id="31" w:name="_neb042DA836_86B4_4826_A912_C8CB08DCBD21"/>
      <w:r>
        <w:rPr>
          <w:rFonts w:hint="default" w:ascii="Times New Roman" w:hAnsi="Times New Roman" w:eastAsia="Times New Roman"/>
          <w:color w:val="auto"/>
          <w:sz w:val="24"/>
          <w:szCs w:val="24"/>
        </w:rPr>
        <w:t>Ma X, Wang B, Li Z, et al. Effects of glufosinate-ammonium on male reproductive health: Focus on epigenome  and transcriptome in mouse sperm[J]. Chemosphere, 2022, 287(Pt 4): 132395.</w:t>
      </w:r>
      <w:bookmarkEnd w:id="31"/>
    </w:p>
    <w:p w14:paraId="551119B2">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2</w:t>
      </w:r>
      <w:r>
        <w:rPr>
          <w:rFonts w:hint="default" w:ascii="Times New Roman" w:hAnsi="Times New Roman" w:eastAsia="Times New Roman"/>
          <w:color w:val="auto"/>
          <w:sz w:val="24"/>
          <w:szCs w:val="24"/>
        </w:rPr>
        <w:t>9]</w:t>
      </w:r>
      <w:r>
        <w:rPr>
          <w:rFonts w:hint="default" w:ascii="Times New Roman" w:hAnsi="Times New Roman" w:eastAsia="Times New Roman"/>
          <w:color w:val="auto"/>
          <w:sz w:val="24"/>
          <w:szCs w:val="24"/>
        </w:rPr>
        <w:tab/>
      </w:r>
      <w:bookmarkStart w:id="32" w:name="_neb8254F325_541A_42D5_9768_A7AAB23D6088"/>
      <w:r>
        <w:rPr>
          <w:rFonts w:hint="default" w:ascii="Times New Roman" w:hAnsi="Times New Roman" w:eastAsia="Times New Roman"/>
          <w:color w:val="auto"/>
          <w:sz w:val="24"/>
          <w:szCs w:val="24"/>
        </w:rPr>
        <w:t>Zhao X, Fu K, Xiang K P, et al. Comparison of the chronic and multigenerational toxicity of racemic glufosinate  and l-glufosinate to Caenorhabditis elegans at environmental concentrations[J]. Chemosphere, 2023, 316: 137863.</w:t>
      </w:r>
      <w:bookmarkEnd w:id="32"/>
    </w:p>
    <w:p w14:paraId="4EB70BFA">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3</w:t>
      </w:r>
      <w:r>
        <w:rPr>
          <w:rFonts w:hint="default" w:ascii="Times New Roman" w:hAnsi="Times New Roman" w:eastAsia="Times New Roman"/>
          <w:color w:val="auto"/>
          <w:sz w:val="24"/>
          <w:szCs w:val="24"/>
        </w:rPr>
        <w:t>0]</w:t>
      </w:r>
      <w:r>
        <w:rPr>
          <w:rFonts w:hint="default" w:ascii="Times New Roman" w:hAnsi="Times New Roman" w:eastAsia="Times New Roman"/>
          <w:color w:val="auto"/>
          <w:sz w:val="24"/>
          <w:szCs w:val="24"/>
        </w:rPr>
        <w:tab/>
      </w:r>
      <w:bookmarkStart w:id="33" w:name="_neb6E0C9A88_DE5E_4DA2_AA1F_DE9BF3DD100C"/>
      <w:r>
        <w:rPr>
          <w:rFonts w:hint="default" w:ascii="Times New Roman" w:hAnsi="Times New Roman" w:eastAsia="Times New Roman"/>
          <w:color w:val="auto"/>
          <w:sz w:val="24"/>
          <w:szCs w:val="24"/>
        </w:rPr>
        <w:t>Xiong G, Deng Y, Li J, et al. Immunotoxicity and transcriptome analysis of zebrafish embryos in response to glufosinate-ammonium exposure[J]. Chemosphere, 2019, 236: 124423.</w:t>
      </w:r>
      <w:bookmarkEnd w:id="33"/>
    </w:p>
    <w:p w14:paraId="50CCCBF6">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3</w:t>
      </w:r>
      <w:r>
        <w:rPr>
          <w:rFonts w:hint="default" w:ascii="Times New Roman" w:hAnsi="Times New Roman" w:eastAsia="Times New Roman"/>
          <w:color w:val="auto"/>
          <w:sz w:val="24"/>
          <w:szCs w:val="24"/>
        </w:rPr>
        <w:t>1]</w:t>
      </w:r>
      <w:r>
        <w:rPr>
          <w:rFonts w:hint="default" w:ascii="Times New Roman" w:hAnsi="Times New Roman" w:eastAsia="Times New Roman"/>
          <w:color w:val="auto"/>
          <w:sz w:val="24"/>
          <w:szCs w:val="24"/>
        </w:rPr>
        <w:tab/>
      </w:r>
      <w:bookmarkStart w:id="34" w:name="_nebB76948B9_E6F8_4EC0_BEB4_450F797CA1E9"/>
      <w:r>
        <w:rPr>
          <w:rFonts w:hint="eastAsia" w:ascii="宋体" w:hAnsi="宋体"/>
          <w:color w:val="auto"/>
          <w:sz w:val="24"/>
          <w:szCs w:val="24"/>
        </w:rPr>
        <w:t>杨雅迪</w:t>
      </w:r>
      <w:r>
        <w:rPr>
          <w:rFonts w:hint="default" w:ascii="Times New Roman" w:hAnsi="Times New Roman" w:eastAsia="Times New Roman"/>
          <w:color w:val="auto"/>
          <w:sz w:val="24"/>
          <w:szCs w:val="24"/>
        </w:rPr>
        <w:t xml:space="preserve">, </w:t>
      </w:r>
      <w:r>
        <w:rPr>
          <w:rFonts w:hint="eastAsia" w:ascii="宋体" w:hAnsi="宋体"/>
          <w:color w:val="auto"/>
          <w:sz w:val="24"/>
          <w:szCs w:val="24"/>
        </w:rPr>
        <w:t>吴长江</w:t>
      </w:r>
      <w:r>
        <w:rPr>
          <w:rFonts w:hint="default" w:ascii="Times New Roman" w:hAnsi="Times New Roman" w:eastAsia="Times New Roman"/>
          <w:color w:val="auto"/>
          <w:sz w:val="24"/>
          <w:szCs w:val="24"/>
        </w:rPr>
        <w:t xml:space="preserve">, </w:t>
      </w:r>
      <w:r>
        <w:rPr>
          <w:rFonts w:hint="eastAsia" w:ascii="宋体" w:hAnsi="宋体"/>
          <w:color w:val="auto"/>
          <w:sz w:val="24"/>
          <w:szCs w:val="24"/>
        </w:rPr>
        <w:t>隋明亮</w:t>
      </w:r>
      <w:r>
        <w:rPr>
          <w:rFonts w:hint="default" w:ascii="Times New Roman" w:hAnsi="Times New Roman" w:eastAsia="Times New Roman"/>
          <w:color w:val="auto"/>
          <w:sz w:val="24"/>
          <w:szCs w:val="24"/>
        </w:rPr>
        <w:t>. 1</w:t>
      </w:r>
      <w:r>
        <w:rPr>
          <w:rFonts w:hint="eastAsia" w:ascii="宋体" w:hAnsi="宋体"/>
          <w:color w:val="auto"/>
          <w:sz w:val="24"/>
          <w:szCs w:val="24"/>
        </w:rPr>
        <w:t>例患者草铵膦大量中毒救治分析</w:t>
      </w:r>
      <w:r>
        <w:rPr>
          <w:rFonts w:hint="default" w:ascii="Times New Roman" w:hAnsi="Times New Roman" w:eastAsia="Times New Roman"/>
          <w:color w:val="auto"/>
          <w:sz w:val="24"/>
          <w:szCs w:val="24"/>
        </w:rPr>
        <w:t xml:space="preserve">[J]. </w:t>
      </w:r>
      <w:r>
        <w:rPr>
          <w:rFonts w:hint="eastAsia" w:ascii="宋体" w:hAnsi="宋体"/>
          <w:color w:val="auto"/>
          <w:sz w:val="24"/>
          <w:szCs w:val="24"/>
        </w:rPr>
        <w:t>世界最新医学信息文摘</w:t>
      </w:r>
      <w:r>
        <w:rPr>
          <w:rFonts w:hint="default" w:ascii="Times New Roman" w:hAnsi="Times New Roman" w:eastAsia="Times New Roman"/>
          <w:color w:val="auto"/>
          <w:sz w:val="24"/>
          <w:szCs w:val="24"/>
        </w:rPr>
        <w:t>, 2019, 19(61): 261.</w:t>
      </w:r>
      <w:bookmarkEnd w:id="34"/>
    </w:p>
    <w:p w14:paraId="7ADCBD31">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3</w:t>
      </w:r>
      <w:r>
        <w:rPr>
          <w:rFonts w:hint="default" w:ascii="Times New Roman" w:hAnsi="Times New Roman" w:eastAsia="Times New Roman"/>
          <w:color w:val="auto"/>
          <w:sz w:val="24"/>
          <w:szCs w:val="24"/>
        </w:rPr>
        <w:t>2]</w:t>
      </w:r>
      <w:r>
        <w:rPr>
          <w:rFonts w:hint="default" w:ascii="Times New Roman" w:hAnsi="Times New Roman" w:eastAsia="Times New Roman"/>
          <w:color w:val="auto"/>
          <w:sz w:val="24"/>
          <w:szCs w:val="24"/>
        </w:rPr>
        <w:tab/>
      </w:r>
      <w:bookmarkStart w:id="35" w:name="_neb40233FC5_6F3A_4D06_B5AB_543DE1297FBF"/>
      <w:r>
        <w:rPr>
          <w:rFonts w:hint="eastAsia" w:ascii="宋体" w:hAnsi="宋体"/>
          <w:color w:val="auto"/>
          <w:sz w:val="24"/>
          <w:szCs w:val="24"/>
        </w:rPr>
        <w:t>赵家斌</w:t>
      </w:r>
      <w:r>
        <w:rPr>
          <w:rFonts w:hint="default" w:ascii="Times New Roman" w:hAnsi="Times New Roman" w:eastAsia="Times New Roman"/>
          <w:color w:val="auto"/>
          <w:sz w:val="24"/>
          <w:szCs w:val="24"/>
        </w:rPr>
        <w:t xml:space="preserve">, </w:t>
      </w:r>
      <w:r>
        <w:rPr>
          <w:rFonts w:hint="eastAsia" w:ascii="宋体" w:hAnsi="宋体"/>
          <w:color w:val="auto"/>
          <w:sz w:val="24"/>
          <w:szCs w:val="24"/>
        </w:rPr>
        <w:t>董建光</w:t>
      </w:r>
      <w:r>
        <w:rPr>
          <w:rFonts w:hint="default" w:ascii="Times New Roman" w:hAnsi="Times New Roman" w:eastAsia="Times New Roman"/>
          <w:color w:val="auto"/>
          <w:sz w:val="24"/>
          <w:szCs w:val="24"/>
        </w:rPr>
        <w:t xml:space="preserve">. </w:t>
      </w:r>
      <w:r>
        <w:rPr>
          <w:rFonts w:hint="eastAsia" w:ascii="宋体" w:hAnsi="宋体"/>
          <w:color w:val="auto"/>
          <w:sz w:val="24"/>
          <w:szCs w:val="24"/>
        </w:rPr>
        <w:t>草铵膦致急性中毒</w:t>
      </w:r>
      <w:r>
        <w:rPr>
          <w:rFonts w:hint="default" w:ascii="Times New Roman" w:hAnsi="Times New Roman" w:eastAsia="Times New Roman"/>
          <w:color w:val="auto"/>
          <w:sz w:val="24"/>
          <w:szCs w:val="24"/>
        </w:rPr>
        <w:t>15</w:t>
      </w:r>
      <w:r>
        <w:rPr>
          <w:rFonts w:hint="eastAsia" w:ascii="宋体" w:hAnsi="宋体"/>
          <w:color w:val="auto"/>
          <w:sz w:val="24"/>
          <w:szCs w:val="24"/>
        </w:rPr>
        <w:t>例临床分析</w:t>
      </w:r>
      <w:r>
        <w:rPr>
          <w:rFonts w:hint="default" w:ascii="Times New Roman" w:hAnsi="Times New Roman" w:eastAsia="Times New Roman"/>
          <w:color w:val="auto"/>
          <w:sz w:val="24"/>
          <w:szCs w:val="24"/>
        </w:rPr>
        <w:t xml:space="preserve">[J]. </w:t>
      </w:r>
      <w:r>
        <w:rPr>
          <w:rFonts w:hint="eastAsia" w:ascii="宋体" w:hAnsi="宋体"/>
          <w:color w:val="auto"/>
          <w:sz w:val="24"/>
          <w:szCs w:val="24"/>
        </w:rPr>
        <w:t>中华劳动卫生职业病杂志</w:t>
      </w:r>
      <w:r>
        <w:rPr>
          <w:rFonts w:hint="default" w:ascii="Times New Roman" w:hAnsi="Times New Roman" w:eastAsia="Times New Roman"/>
          <w:color w:val="auto"/>
          <w:sz w:val="24"/>
          <w:szCs w:val="24"/>
        </w:rPr>
        <w:t>, 2020, 38(5): 3.</w:t>
      </w:r>
      <w:bookmarkEnd w:id="35"/>
    </w:p>
    <w:p w14:paraId="3BD6F0DB">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3</w:t>
      </w:r>
      <w:r>
        <w:rPr>
          <w:rFonts w:hint="default" w:ascii="Times New Roman" w:hAnsi="Times New Roman" w:eastAsia="Times New Roman"/>
          <w:color w:val="auto"/>
          <w:sz w:val="24"/>
          <w:szCs w:val="24"/>
        </w:rPr>
        <w:t>3]</w:t>
      </w:r>
      <w:r>
        <w:rPr>
          <w:rFonts w:hint="default" w:ascii="Times New Roman" w:hAnsi="Times New Roman" w:eastAsia="Times New Roman"/>
          <w:color w:val="auto"/>
          <w:sz w:val="24"/>
          <w:szCs w:val="24"/>
        </w:rPr>
        <w:tab/>
      </w:r>
      <w:bookmarkStart w:id="36" w:name="_neb2BBBDA8C_9138_4974_BC08_024E201E82FC"/>
      <w:r>
        <w:rPr>
          <w:rFonts w:hint="default" w:ascii="Times New Roman" w:hAnsi="Times New Roman" w:eastAsia="Times New Roman"/>
          <w:color w:val="auto"/>
          <w:sz w:val="24"/>
          <w:szCs w:val="24"/>
        </w:rPr>
        <w:t>Mao Y, Hung D, Wu M, et al. Acute human Glufosinate-containing herbicide poisoning[J]. Clinical Toxicology, 2012, 50(5): 396-402.</w:t>
      </w:r>
      <w:bookmarkEnd w:id="36"/>
    </w:p>
    <w:p w14:paraId="01C7207B">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ascii="Times New Roman" w:hAnsi="Times New Roman" w:eastAsia="Times New Roman"/>
          <w:color w:val="auto"/>
          <w:sz w:val="24"/>
          <w:szCs w:val="24"/>
        </w:rPr>
      </w:pPr>
      <w:r>
        <w:rPr>
          <w:rFonts w:hint="default" w:ascii="Times New Roman" w:hAnsi="Times New Roman" w:eastAsia="Times New Roman"/>
          <w:color w:val="auto"/>
          <w:sz w:val="24"/>
          <w:szCs w:val="24"/>
        </w:rPr>
        <w:t>[</w:t>
      </w:r>
      <w:r>
        <w:rPr>
          <w:rFonts w:hint="eastAsia" w:ascii="Times New Roman" w:hAnsi="Times New Roman"/>
          <w:color w:val="auto"/>
          <w:sz w:val="24"/>
          <w:szCs w:val="24"/>
          <w:lang w:val="en-US" w:eastAsia="zh-CN"/>
        </w:rPr>
        <w:t>3</w:t>
      </w:r>
      <w:r>
        <w:rPr>
          <w:rFonts w:hint="default" w:ascii="Times New Roman" w:hAnsi="Times New Roman" w:eastAsia="Times New Roman"/>
          <w:color w:val="auto"/>
          <w:sz w:val="24"/>
          <w:szCs w:val="24"/>
        </w:rPr>
        <w:t>4]</w:t>
      </w:r>
      <w:r>
        <w:rPr>
          <w:rFonts w:hint="default" w:ascii="Times New Roman" w:hAnsi="Times New Roman" w:eastAsia="Times New Roman"/>
          <w:color w:val="auto"/>
          <w:sz w:val="24"/>
          <w:szCs w:val="24"/>
        </w:rPr>
        <w:tab/>
      </w:r>
      <w:bookmarkStart w:id="37" w:name="_nebD2E7AD63_C12E_4598_912E_CA0725C37169"/>
      <w:r>
        <w:rPr>
          <w:rFonts w:hint="default" w:ascii="Times New Roman" w:hAnsi="Times New Roman" w:eastAsia="Times New Roman"/>
          <w:color w:val="auto"/>
          <w:sz w:val="24"/>
          <w:szCs w:val="24"/>
        </w:rPr>
        <w:t>Lee D K, Youk H, Kim H, et al. Initial Serum Ammonia as a Predictor of Neurologic Complications in Patients with Acute Glufosinate Poisoning[J]. Yonsei Medical Journal, 2016, 57(1): 254.</w:t>
      </w:r>
      <w:bookmarkEnd w:id="37"/>
    </w:p>
    <w:p w14:paraId="367792E7">
      <w:pPr>
        <w:keepNext w:val="0"/>
        <w:keepLines w:val="0"/>
        <w:pageBreakBefore w:val="0"/>
        <w:widowControl w:val="0"/>
        <w:kinsoku/>
        <w:wordWrap/>
        <w:overflowPunct/>
        <w:topLinePunct w:val="0"/>
        <w:autoSpaceDE/>
        <w:autoSpaceDN/>
        <w:bidi w:val="0"/>
        <w:adjustRightInd/>
        <w:snapToGrid/>
        <w:spacing w:beforeLines="0" w:afterLines="0" w:line="460" w:lineRule="exact"/>
        <w:ind w:left="420" w:hanging="420"/>
        <w:textAlignment w:val="auto"/>
        <w:rPr>
          <w:rFonts w:hint="default" w:ascii="Times New Roman" w:hAnsi="Times New Roman" w:eastAsia="Times New Roman"/>
          <w:color w:val="auto"/>
          <w:sz w:val="24"/>
          <w:szCs w:val="24"/>
        </w:rPr>
      </w:pPr>
      <w:r>
        <w:rPr>
          <w:rFonts w:hint="default" w:ascii="Times New Roman" w:hAnsi="Times New Roman" w:eastAsia="Times New Roman"/>
          <w:color w:val="auto"/>
          <w:sz w:val="24"/>
          <w:szCs w:val="24"/>
        </w:rPr>
        <w:t>[</w:t>
      </w:r>
      <w:r>
        <w:rPr>
          <w:rFonts w:hint="eastAsia"/>
          <w:color w:val="auto"/>
          <w:sz w:val="24"/>
          <w:szCs w:val="24"/>
          <w:lang w:val="en-US" w:eastAsia="zh-CN"/>
        </w:rPr>
        <w:t>35</w:t>
      </w:r>
      <w:r>
        <w:rPr>
          <w:rFonts w:hint="default" w:ascii="Times New Roman" w:hAnsi="Times New Roman" w:eastAsia="Times New Roman"/>
          <w:color w:val="auto"/>
          <w:sz w:val="24"/>
          <w:szCs w:val="24"/>
        </w:rPr>
        <w:t>]The 2012 European Union report on pesticide residues in food[J].Food safety briefing, 2015(1).</w:t>
      </w:r>
    </w:p>
    <w:p w14:paraId="7746549D">
      <w:pPr>
        <w:keepNext w:val="0"/>
        <w:keepLines w:val="0"/>
        <w:pageBreakBefore w:val="0"/>
        <w:kinsoku/>
        <w:wordWrap/>
        <w:overflowPunct/>
        <w:topLinePunct w:val="0"/>
        <w:autoSpaceDE/>
        <w:autoSpaceDN/>
        <w:bidi w:val="0"/>
        <w:adjustRightInd/>
        <w:snapToGrid/>
        <w:spacing w:line="460" w:lineRule="exact"/>
        <w:ind w:left="420" w:hanging="420"/>
        <w:textAlignment w:val="auto"/>
        <w:rPr>
          <w:color w:val="auto"/>
          <w:sz w:val="28"/>
          <w:szCs w:val="28"/>
        </w:rPr>
      </w:pPr>
    </w:p>
    <w:p w14:paraId="001FA470">
      <w:pPr>
        <w:pStyle w:val="19"/>
        <w:spacing w:line="460" w:lineRule="exact"/>
        <w:ind w:left="480" w:hanging="480" w:hangingChars="200"/>
        <w:jc w:val="both"/>
        <w:rPr>
          <w:color w:val="auto"/>
        </w:rPr>
      </w:pPr>
    </w:p>
    <w:bookmarkEnd w:id="38"/>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E7A2D">
    <w:pPr>
      <w:pStyle w:val="12"/>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8</w:t>
    </w:r>
    <w:r>
      <w:rPr>
        <w:rStyle w:val="24"/>
      </w:rPr>
      <w:fldChar w:fldCharType="end"/>
    </w:r>
  </w:p>
  <w:p w14:paraId="3ABF4D99">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42180">
    <w:pPr>
      <w:pStyle w:val="12"/>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14:paraId="465C35E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2B5F66"/>
    <w:multiLevelType w:val="singleLevel"/>
    <w:tmpl w:val="C92B5F66"/>
    <w:lvl w:ilvl="0" w:tentative="0">
      <w:start w:val="8"/>
      <w:numFmt w:val="decimal"/>
      <w:suff w:val="nothing"/>
      <w:lvlText w:val="%1、"/>
      <w:lvlJc w:val="left"/>
    </w:lvl>
  </w:abstractNum>
  <w:abstractNum w:abstractNumId="1">
    <w:nsid w:val="D0897BF3"/>
    <w:multiLevelType w:val="singleLevel"/>
    <w:tmpl w:val="D0897BF3"/>
    <w:lvl w:ilvl="0" w:tentative="0">
      <w:start w:val="5"/>
      <w:numFmt w:val="decimal"/>
      <w:suff w:val="nothing"/>
      <w:lvlText w:val="（%1）"/>
      <w:lvlJc w:val="left"/>
    </w:lvl>
  </w:abstractNum>
  <w:abstractNum w:abstractNumId="2">
    <w:nsid w:val="D31759C3"/>
    <w:multiLevelType w:val="singleLevel"/>
    <w:tmpl w:val="D31759C3"/>
    <w:lvl w:ilvl="0" w:tentative="0">
      <w:start w:val="1"/>
      <w:numFmt w:val="decimal"/>
      <w:suff w:val="nothing"/>
      <w:lvlText w:val="（%1）"/>
      <w:lvlJc w:val="left"/>
    </w:lvl>
  </w:abstractNum>
  <w:abstractNum w:abstractNumId="3">
    <w:nsid w:val="D3689DF6"/>
    <w:multiLevelType w:val="singleLevel"/>
    <w:tmpl w:val="D3689DF6"/>
    <w:lvl w:ilvl="0" w:tentative="0">
      <w:start w:val="5"/>
      <w:numFmt w:val="decimal"/>
      <w:suff w:val="nothing"/>
      <w:lvlText w:val="%1、"/>
      <w:lvlJc w:val="left"/>
    </w:lvl>
  </w:abstractNum>
  <w:abstractNum w:abstractNumId="4">
    <w:nsid w:val="D3B22847"/>
    <w:multiLevelType w:val="singleLevel"/>
    <w:tmpl w:val="D3B22847"/>
    <w:lvl w:ilvl="0" w:tentative="0">
      <w:start w:val="3"/>
      <w:numFmt w:val="decimal"/>
      <w:suff w:val="nothing"/>
      <w:lvlText w:val="（%1）"/>
      <w:lvlJc w:val="left"/>
    </w:lvl>
  </w:abstractNum>
  <w:abstractNum w:abstractNumId="5">
    <w:nsid w:val="10447412"/>
    <w:multiLevelType w:val="singleLevel"/>
    <w:tmpl w:val="10447412"/>
    <w:lvl w:ilvl="0" w:tentative="0">
      <w:start w:val="6"/>
      <w:numFmt w:val="decimal"/>
      <w:suff w:val="nothing"/>
      <w:lvlText w:val="（%1）"/>
      <w:lvlJc w:val="left"/>
    </w:lvl>
  </w:abstractNum>
  <w:abstractNum w:abstractNumId="6">
    <w:nsid w:val="2CA4C9CF"/>
    <w:multiLevelType w:val="singleLevel"/>
    <w:tmpl w:val="2CA4C9CF"/>
    <w:lvl w:ilvl="0" w:tentative="0">
      <w:start w:val="2"/>
      <w:numFmt w:val="decimal"/>
      <w:suff w:val="nothing"/>
      <w:lvlText w:val="（%1）"/>
      <w:lvlJc w:val="left"/>
    </w:lvl>
  </w:abstractNum>
  <w:abstractNum w:abstractNumId="7">
    <w:nsid w:val="41DCCCFC"/>
    <w:multiLevelType w:val="singleLevel"/>
    <w:tmpl w:val="41DCCCFC"/>
    <w:lvl w:ilvl="0" w:tentative="0">
      <w:start w:val="4"/>
      <w:numFmt w:val="chineseCounting"/>
      <w:suff w:val="nothing"/>
      <w:lvlText w:val="%1、"/>
      <w:lvlJc w:val="left"/>
      <w:rPr>
        <w:rFonts w:hint="eastAsia"/>
      </w:rPr>
    </w:lvl>
  </w:abstractNum>
  <w:abstractNum w:abstractNumId="8">
    <w:nsid w:val="5B83AD95"/>
    <w:multiLevelType w:val="singleLevel"/>
    <w:tmpl w:val="5B83AD95"/>
    <w:lvl w:ilvl="0" w:tentative="0">
      <w:start w:val="4"/>
      <w:numFmt w:val="decimal"/>
      <w:suff w:val="nothing"/>
      <w:lvlText w:val="（%1）"/>
      <w:lvlJc w:val="left"/>
    </w:lvl>
  </w:abstractNum>
  <w:abstractNum w:abstractNumId="9">
    <w:nsid w:val="6C892646"/>
    <w:multiLevelType w:val="singleLevel"/>
    <w:tmpl w:val="6C892646"/>
    <w:lvl w:ilvl="0" w:tentative="0">
      <w:start w:val="10"/>
      <w:numFmt w:val="decimal"/>
      <w:suff w:val="nothing"/>
      <w:lvlText w:val="（%1）"/>
      <w:lvlJc w:val="left"/>
    </w:lvl>
  </w:abstractNum>
  <w:num w:numId="1">
    <w:abstractNumId w:val="7"/>
  </w:num>
  <w:num w:numId="2">
    <w:abstractNumId w:val="2"/>
  </w:num>
  <w:num w:numId="3">
    <w:abstractNumId w:val="6"/>
  </w:num>
  <w:num w:numId="4">
    <w:abstractNumId w:val="4"/>
  </w:num>
  <w:num w:numId="5">
    <w:abstractNumId w:val="8"/>
  </w:num>
  <w:num w:numId="6">
    <w:abstractNumId w:val="1"/>
  </w:num>
  <w:num w:numId="7">
    <w:abstractNumId w:val="5"/>
  </w:num>
  <w:num w:numId="8">
    <w:abstractNumId w:val="9"/>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docVars>
    <w:docVar w:name="commondata" w:val="eyJoZGlkIjoiYjJjOTQxYzhjODMyMDAzZmE0MDJkMWFkNmJlNDkwYTUifQ=="/>
    <w:docVar w:name="EN.InstantFormat" w:val="&lt;ENInstantFormat&gt;&lt;Enabled&gt;1&lt;/Enabled&gt;&lt;ScanUnformatted&gt;1&lt;/ScanUnformatted&gt;&lt;ScanChanges&gt;1&lt;/ScanChanges&gt;&lt;Suspended&gt;1&lt;/Suspended&gt;&lt;/ENInstantFormat&gt;"/>
    <w:docVar w:name="EN.Layout" w:val="&lt;ENLayout&gt;&lt;Style&gt;Chinese Std GBT7714 (numeric) Copy&lt;/Style&gt;&lt;LeftDelim&gt;{&lt;/LeftDelim&gt;&lt;RightDelim&gt;}&lt;/RightDelim&gt;&lt;FontName&gt;宋体&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9fxvtd0hewp53evde4xzvxcdr99vddp0tx2&quot;&gt;My EndNote Library&lt;record-ids&gt;&lt;item&gt;339&lt;/item&gt;&lt;item&gt;341&lt;/item&gt;&lt;item&gt;342&lt;/item&gt;&lt;/record-ids&gt;&lt;/item&gt;&lt;/Libraries&gt;"/>
  </w:docVars>
  <w:rsids>
    <w:rsidRoot w:val="00C43BF2"/>
    <w:rsid w:val="000014B6"/>
    <w:rsid w:val="00001BE9"/>
    <w:rsid w:val="00004A4D"/>
    <w:rsid w:val="000122AC"/>
    <w:rsid w:val="00014512"/>
    <w:rsid w:val="00014D0B"/>
    <w:rsid w:val="00021496"/>
    <w:rsid w:val="000226AC"/>
    <w:rsid w:val="00024386"/>
    <w:rsid w:val="00026594"/>
    <w:rsid w:val="00027732"/>
    <w:rsid w:val="000308B8"/>
    <w:rsid w:val="00031B0B"/>
    <w:rsid w:val="00032084"/>
    <w:rsid w:val="00032C57"/>
    <w:rsid w:val="0004103A"/>
    <w:rsid w:val="000456EF"/>
    <w:rsid w:val="000513C0"/>
    <w:rsid w:val="000526F1"/>
    <w:rsid w:val="00054718"/>
    <w:rsid w:val="000559D3"/>
    <w:rsid w:val="00057E31"/>
    <w:rsid w:val="00063E10"/>
    <w:rsid w:val="00064212"/>
    <w:rsid w:val="00072955"/>
    <w:rsid w:val="00073733"/>
    <w:rsid w:val="00076131"/>
    <w:rsid w:val="00080FDD"/>
    <w:rsid w:val="00087A1F"/>
    <w:rsid w:val="00091414"/>
    <w:rsid w:val="00091F77"/>
    <w:rsid w:val="00092300"/>
    <w:rsid w:val="00094C45"/>
    <w:rsid w:val="00096474"/>
    <w:rsid w:val="00097D68"/>
    <w:rsid w:val="000B03EF"/>
    <w:rsid w:val="000B08EE"/>
    <w:rsid w:val="000B3C96"/>
    <w:rsid w:val="000C2E54"/>
    <w:rsid w:val="000C49D5"/>
    <w:rsid w:val="000D24B8"/>
    <w:rsid w:val="000D24D7"/>
    <w:rsid w:val="000D50A9"/>
    <w:rsid w:val="000D753C"/>
    <w:rsid w:val="000E02C7"/>
    <w:rsid w:val="000E3CCA"/>
    <w:rsid w:val="000E5A1D"/>
    <w:rsid w:val="000E7AE2"/>
    <w:rsid w:val="000F51CC"/>
    <w:rsid w:val="000F5BD5"/>
    <w:rsid w:val="00102299"/>
    <w:rsid w:val="0010277A"/>
    <w:rsid w:val="0010386F"/>
    <w:rsid w:val="001041BD"/>
    <w:rsid w:val="00113EAB"/>
    <w:rsid w:val="00114B66"/>
    <w:rsid w:val="00115124"/>
    <w:rsid w:val="00115B4D"/>
    <w:rsid w:val="001213C3"/>
    <w:rsid w:val="00122142"/>
    <w:rsid w:val="0012380D"/>
    <w:rsid w:val="00125EA7"/>
    <w:rsid w:val="00126CE6"/>
    <w:rsid w:val="00132400"/>
    <w:rsid w:val="0013270C"/>
    <w:rsid w:val="00132C1D"/>
    <w:rsid w:val="001421E0"/>
    <w:rsid w:val="0014603C"/>
    <w:rsid w:val="0014641E"/>
    <w:rsid w:val="0015091F"/>
    <w:rsid w:val="00150EE8"/>
    <w:rsid w:val="001512C6"/>
    <w:rsid w:val="00152767"/>
    <w:rsid w:val="00155227"/>
    <w:rsid w:val="00155BE1"/>
    <w:rsid w:val="001576CB"/>
    <w:rsid w:val="00160F37"/>
    <w:rsid w:val="00161CC0"/>
    <w:rsid w:val="00163556"/>
    <w:rsid w:val="00164A61"/>
    <w:rsid w:val="00167410"/>
    <w:rsid w:val="001708FC"/>
    <w:rsid w:val="00173EDB"/>
    <w:rsid w:val="00173F20"/>
    <w:rsid w:val="001813D2"/>
    <w:rsid w:val="0018541B"/>
    <w:rsid w:val="00186652"/>
    <w:rsid w:val="001905FE"/>
    <w:rsid w:val="00193ECD"/>
    <w:rsid w:val="00196F6D"/>
    <w:rsid w:val="00197F35"/>
    <w:rsid w:val="001A076F"/>
    <w:rsid w:val="001A1DA1"/>
    <w:rsid w:val="001A3A08"/>
    <w:rsid w:val="001A5496"/>
    <w:rsid w:val="001B0420"/>
    <w:rsid w:val="001B1F0C"/>
    <w:rsid w:val="001B28CF"/>
    <w:rsid w:val="001B3086"/>
    <w:rsid w:val="001B563A"/>
    <w:rsid w:val="001B6924"/>
    <w:rsid w:val="001C16ED"/>
    <w:rsid w:val="001C6E2C"/>
    <w:rsid w:val="001D3ADD"/>
    <w:rsid w:val="001E250B"/>
    <w:rsid w:val="001E2B3D"/>
    <w:rsid w:val="001E6BA9"/>
    <w:rsid w:val="001F001D"/>
    <w:rsid w:val="001F1F19"/>
    <w:rsid w:val="001F2FED"/>
    <w:rsid w:val="001F4132"/>
    <w:rsid w:val="001F4D16"/>
    <w:rsid w:val="001F7239"/>
    <w:rsid w:val="001F7993"/>
    <w:rsid w:val="00201311"/>
    <w:rsid w:val="00204210"/>
    <w:rsid w:val="00206C47"/>
    <w:rsid w:val="00206DC3"/>
    <w:rsid w:val="0020710B"/>
    <w:rsid w:val="002101BD"/>
    <w:rsid w:val="002113EA"/>
    <w:rsid w:val="00212AA3"/>
    <w:rsid w:val="00225A79"/>
    <w:rsid w:val="00230AA0"/>
    <w:rsid w:val="00231846"/>
    <w:rsid w:val="00233A2D"/>
    <w:rsid w:val="002345F7"/>
    <w:rsid w:val="00240F12"/>
    <w:rsid w:val="00244575"/>
    <w:rsid w:val="0024550C"/>
    <w:rsid w:val="0025055D"/>
    <w:rsid w:val="00250B7A"/>
    <w:rsid w:val="00250F1B"/>
    <w:rsid w:val="0025197E"/>
    <w:rsid w:val="00252F66"/>
    <w:rsid w:val="00253178"/>
    <w:rsid w:val="00253256"/>
    <w:rsid w:val="00254B12"/>
    <w:rsid w:val="00254C73"/>
    <w:rsid w:val="00255B02"/>
    <w:rsid w:val="00256B75"/>
    <w:rsid w:val="00261D01"/>
    <w:rsid w:val="00262721"/>
    <w:rsid w:val="00264675"/>
    <w:rsid w:val="00272D7F"/>
    <w:rsid w:val="0027334C"/>
    <w:rsid w:val="00280513"/>
    <w:rsid w:val="00281F82"/>
    <w:rsid w:val="002851DB"/>
    <w:rsid w:val="00290DAA"/>
    <w:rsid w:val="002A437E"/>
    <w:rsid w:val="002A488A"/>
    <w:rsid w:val="002A5899"/>
    <w:rsid w:val="002B349D"/>
    <w:rsid w:val="002B4455"/>
    <w:rsid w:val="002B6455"/>
    <w:rsid w:val="002C06FB"/>
    <w:rsid w:val="002C1CD6"/>
    <w:rsid w:val="002C2AD5"/>
    <w:rsid w:val="002C3752"/>
    <w:rsid w:val="002C51FA"/>
    <w:rsid w:val="002C52A6"/>
    <w:rsid w:val="002D0D2F"/>
    <w:rsid w:val="002D2910"/>
    <w:rsid w:val="002D2DA8"/>
    <w:rsid w:val="002E4F1F"/>
    <w:rsid w:val="002E60AC"/>
    <w:rsid w:val="002E73F0"/>
    <w:rsid w:val="002F1375"/>
    <w:rsid w:val="002F2E13"/>
    <w:rsid w:val="0030432D"/>
    <w:rsid w:val="003119F1"/>
    <w:rsid w:val="003303F5"/>
    <w:rsid w:val="00330E16"/>
    <w:rsid w:val="0033220A"/>
    <w:rsid w:val="0033422B"/>
    <w:rsid w:val="00337036"/>
    <w:rsid w:val="00343DD3"/>
    <w:rsid w:val="00344CF3"/>
    <w:rsid w:val="0034652A"/>
    <w:rsid w:val="00350305"/>
    <w:rsid w:val="003563CE"/>
    <w:rsid w:val="00356A26"/>
    <w:rsid w:val="00362FC9"/>
    <w:rsid w:val="00365387"/>
    <w:rsid w:val="00366A25"/>
    <w:rsid w:val="003675FD"/>
    <w:rsid w:val="0037425A"/>
    <w:rsid w:val="00375667"/>
    <w:rsid w:val="00380352"/>
    <w:rsid w:val="00385346"/>
    <w:rsid w:val="003856D5"/>
    <w:rsid w:val="003870F8"/>
    <w:rsid w:val="003912A5"/>
    <w:rsid w:val="00391DAC"/>
    <w:rsid w:val="00393230"/>
    <w:rsid w:val="00395FF7"/>
    <w:rsid w:val="00396DE6"/>
    <w:rsid w:val="003A0E57"/>
    <w:rsid w:val="003A4552"/>
    <w:rsid w:val="003A7BB3"/>
    <w:rsid w:val="003B3D0B"/>
    <w:rsid w:val="003B586D"/>
    <w:rsid w:val="003B5E11"/>
    <w:rsid w:val="003B795F"/>
    <w:rsid w:val="003C19DB"/>
    <w:rsid w:val="003C2D60"/>
    <w:rsid w:val="003C7078"/>
    <w:rsid w:val="003C7454"/>
    <w:rsid w:val="003D0753"/>
    <w:rsid w:val="003D2A52"/>
    <w:rsid w:val="003D385C"/>
    <w:rsid w:val="003D6C32"/>
    <w:rsid w:val="003D6FEB"/>
    <w:rsid w:val="003D70B2"/>
    <w:rsid w:val="003E2CE1"/>
    <w:rsid w:val="003E44C8"/>
    <w:rsid w:val="003F0177"/>
    <w:rsid w:val="003F720B"/>
    <w:rsid w:val="003F7613"/>
    <w:rsid w:val="0040089C"/>
    <w:rsid w:val="00400C2C"/>
    <w:rsid w:val="0040318C"/>
    <w:rsid w:val="00404528"/>
    <w:rsid w:val="00407525"/>
    <w:rsid w:val="00407539"/>
    <w:rsid w:val="00412631"/>
    <w:rsid w:val="0041503A"/>
    <w:rsid w:val="0041544F"/>
    <w:rsid w:val="00416F03"/>
    <w:rsid w:val="00417016"/>
    <w:rsid w:val="004211BD"/>
    <w:rsid w:val="0042136C"/>
    <w:rsid w:val="0042419B"/>
    <w:rsid w:val="00427BA3"/>
    <w:rsid w:val="00431AF1"/>
    <w:rsid w:val="00435417"/>
    <w:rsid w:val="00445199"/>
    <w:rsid w:val="00453EE3"/>
    <w:rsid w:val="00461A58"/>
    <w:rsid w:val="00462330"/>
    <w:rsid w:val="00465A79"/>
    <w:rsid w:val="00465CD6"/>
    <w:rsid w:val="00475E4D"/>
    <w:rsid w:val="00477756"/>
    <w:rsid w:val="004835EB"/>
    <w:rsid w:val="00490969"/>
    <w:rsid w:val="0049252A"/>
    <w:rsid w:val="00492570"/>
    <w:rsid w:val="00493F95"/>
    <w:rsid w:val="004A07F0"/>
    <w:rsid w:val="004A56F7"/>
    <w:rsid w:val="004A6B2D"/>
    <w:rsid w:val="004A75F5"/>
    <w:rsid w:val="004B7EEB"/>
    <w:rsid w:val="004C5539"/>
    <w:rsid w:val="004C573C"/>
    <w:rsid w:val="004D1D47"/>
    <w:rsid w:val="004D368D"/>
    <w:rsid w:val="004D399F"/>
    <w:rsid w:val="004D7938"/>
    <w:rsid w:val="004E01BC"/>
    <w:rsid w:val="004E026B"/>
    <w:rsid w:val="004E0EB6"/>
    <w:rsid w:val="004E22B6"/>
    <w:rsid w:val="004E2A5F"/>
    <w:rsid w:val="004E2D0A"/>
    <w:rsid w:val="004E39E3"/>
    <w:rsid w:val="004E4782"/>
    <w:rsid w:val="004E5CD0"/>
    <w:rsid w:val="004E66D6"/>
    <w:rsid w:val="004F0FFE"/>
    <w:rsid w:val="004F121C"/>
    <w:rsid w:val="004F1B0D"/>
    <w:rsid w:val="004F3843"/>
    <w:rsid w:val="004F685E"/>
    <w:rsid w:val="004F71C0"/>
    <w:rsid w:val="00500DAA"/>
    <w:rsid w:val="005032EF"/>
    <w:rsid w:val="005106ED"/>
    <w:rsid w:val="00510F42"/>
    <w:rsid w:val="005113F3"/>
    <w:rsid w:val="00512065"/>
    <w:rsid w:val="00512A2B"/>
    <w:rsid w:val="005152FD"/>
    <w:rsid w:val="00524B43"/>
    <w:rsid w:val="0052524A"/>
    <w:rsid w:val="00526EBB"/>
    <w:rsid w:val="00533040"/>
    <w:rsid w:val="00534800"/>
    <w:rsid w:val="00540D39"/>
    <w:rsid w:val="00541090"/>
    <w:rsid w:val="005427D3"/>
    <w:rsid w:val="005433C3"/>
    <w:rsid w:val="0054753C"/>
    <w:rsid w:val="00553959"/>
    <w:rsid w:val="0055663F"/>
    <w:rsid w:val="00557C45"/>
    <w:rsid w:val="0056029A"/>
    <w:rsid w:val="00561BEF"/>
    <w:rsid w:val="00565AD4"/>
    <w:rsid w:val="005663B1"/>
    <w:rsid w:val="00567E0F"/>
    <w:rsid w:val="00570D81"/>
    <w:rsid w:val="00573488"/>
    <w:rsid w:val="00573BA6"/>
    <w:rsid w:val="005745E3"/>
    <w:rsid w:val="00574F3B"/>
    <w:rsid w:val="005772EB"/>
    <w:rsid w:val="005778FA"/>
    <w:rsid w:val="00583A1A"/>
    <w:rsid w:val="00585C4A"/>
    <w:rsid w:val="0059170E"/>
    <w:rsid w:val="00593A53"/>
    <w:rsid w:val="005947F6"/>
    <w:rsid w:val="00596957"/>
    <w:rsid w:val="005A23C1"/>
    <w:rsid w:val="005A2452"/>
    <w:rsid w:val="005A24BD"/>
    <w:rsid w:val="005A4E1A"/>
    <w:rsid w:val="005A7250"/>
    <w:rsid w:val="005B1758"/>
    <w:rsid w:val="005B1F59"/>
    <w:rsid w:val="005B21A3"/>
    <w:rsid w:val="005D00D9"/>
    <w:rsid w:val="005D531E"/>
    <w:rsid w:val="005D6E4B"/>
    <w:rsid w:val="005E2627"/>
    <w:rsid w:val="005E43EE"/>
    <w:rsid w:val="005E4D6D"/>
    <w:rsid w:val="005E54CC"/>
    <w:rsid w:val="005E60F4"/>
    <w:rsid w:val="005E623B"/>
    <w:rsid w:val="005F1213"/>
    <w:rsid w:val="005F2206"/>
    <w:rsid w:val="005F29C4"/>
    <w:rsid w:val="005F3C9A"/>
    <w:rsid w:val="005F70BD"/>
    <w:rsid w:val="005F7DB6"/>
    <w:rsid w:val="00605487"/>
    <w:rsid w:val="00610D09"/>
    <w:rsid w:val="00610DCA"/>
    <w:rsid w:val="006256B9"/>
    <w:rsid w:val="00626227"/>
    <w:rsid w:val="006324B1"/>
    <w:rsid w:val="006354B8"/>
    <w:rsid w:val="006426FA"/>
    <w:rsid w:val="0064485C"/>
    <w:rsid w:val="00644BD1"/>
    <w:rsid w:val="00650AFC"/>
    <w:rsid w:val="00654F5C"/>
    <w:rsid w:val="00655840"/>
    <w:rsid w:val="00662170"/>
    <w:rsid w:val="00663133"/>
    <w:rsid w:val="00666203"/>
    <w:rsid w:val="006679B6"/>
    <w:rsid w:val="00670DC6"/>
    <w:rsid w:val="00673C79"/>
    <w:rsid w:val="006753CA"/>
    <w:rsid w:val="0067571B"/>
    <w:rsid w:val="006758AF"/>
    <w:rsid w:val="00680BFE"/>
    <w:rsid w:val="00681B74"/>
    <w:rsid w:val="00682280"/>
    <w:rsid w:val="00682EBF"/>
    <w:rsid w:val="00687B31"/>
    <w:rsid w:val="00691C8E"/>
    <w:rsid w:val="006930CA"/>
    <w:rsid w:val="006970DF"/>
    <w:rsid w:val="006A033A"/>
    <w:rsid w:val="006A4819"/>
    <w:rsid w:val="006B3344"/>
    <w:rsid w:val="006B710B"/>
    <w:rsid w:val="006C081C"/>
    <w:rsid w:val="006C5003"/>
    <w:rsid w:val="006C74F1"/>
    <w:rsid w:val="006D1385"/>
    <w:rsid w:val="006D2A86"/>
    <w:rsid w:val="006D33CD"/>
    <w:rsid w:val="006D75AC"/>
    <w:rsid w:val="006E09C8"/>
    <w:rsid w:val="006E1D92"/>
    <w:rsid w:val="006E5BF9"/>
    <w:rsid w:val="006F6769"/>
    <w:rsid w:val="00702133"/>
    <w:rsid w:val="0070227B"/>
    <w:rsid w:val="00703CDE"/>
    <w:rsid w:val="007157F6"/>
    <w:rsid w:val="00720DDE"/>
    <w:rsid w:val="007229E6"/>
    <w:rsid w:val="007251DF"/>
    <w:rsid w:val="00735466"/>
    <w:rsid w:val="007362B4"/>
    <w:rsid w:val="00740255"/>
    <w:rsid w:val="0074206E"/>
    <w:rsid w:val="0074444C"/>
    <w:rsid w:val="00746804"/>
    <w:rsid w:val="0076037D"/>
    <w:rsid w:val="007631D7"/>
    <w:rsid w:val="007659FD"/>
    <w:rsid w:val="00765CFF"/>
    <w:rsid w:val="00766EC9"/>
    <w:rsid w:val="00771032"/>
    <w:rsid w:val="007744A8"/>
    <w:rsid w:val="00775B82"/>
    <w:rsid w:val="007821A2"/>
    <w:rsid w:val="007829AF"/>
    <w:rsid w:val="00783C3D"/>
    <w:rsid w:val="007877D1"/>
    <w:rsid w:val="007939E4"/>
    <w:rsid w:val="007943CE"/>
    <w:rsid w:val="00797415"/>
    <w:rsid w:val="007A6701"/>
    <w:rsid w:val="007B046C"/>
    <w:rsid w:val="007C33D7"/>
    <w:rsid w:val="007C3A7A"/>
    <w:rsid w:val="007C6B13"/>
    <w:rsid w:val="007D05D6"/>
    <w:rsid w:val="007D1039"/>
    <w:rsid w:val="007D45B6"/>
    <w:rsid w:val="007D6966"/>
    <w:rsid w:val="007D734D"/>
    <w:rsid w:val="007E2BA0"/>
    <w:rsid w:val="007E32A6"/>
    <w:rsid w:val="007E50D0"/>
    <w:rsid w:val="007E551A"/>
    <w:rsid w:val="007E5915"/>
    <w:rsid w:val="007E7C44"/>
    <w:rsid w:val="007F18B3"/>
    <w:rsid w:val="007F1E2F"/>
    <w:rsid w:val="007F217A"/>
    <w:rsid w:val="007F3A3A"/>
    <w:rsid w:val="007F67DF"/>
    <w:rsid w:val="008009C2"/>
    <w:rsid w:val="00801922"/>
    <w:rsid w:val="00807870"/>
    <w:rsid w:val="00811942"/>
    <w:rsid w:val="00811946"/>
    <w:rsid w:val="00813E1F"/>
    <w:rsid w:val="00814819"/>
    <w:rsid w:val="00816CFF"/>
    <w:rsid w:val="008171EB"/>
    <w:rsid w:val="00820010"/>
    <w:rsid w:val="00821495"/>
    <w:rsid w:val="00822811"/>
    <w:rsid w:val="00824197"/>
    <w:rsid w:val="00824C88"/>
    <w:rsid w:val="00825BC8"/>
    <w:rsid w:val="008271F1"/>
    <w:rsid w:val="00833582"/>
    <w:rsid w:val="00833F7C"/>
    <w:rsid w:val="00841606"/>
    <w:rsid w:val="008443B8"/>
    <w:rsid w:val="008453D8"/>
    <w:rsid w:val="0085031B"/>
    <w:rsid w:val="0085045A"/>
    <w:rsid w:val="00852BD9"/>
    <w:rsid w:val="00853419"/>
    <w:rsid w:val="008555A4"/>
    <w:rsid w:val="00855B8A"/>
    <w:rsid w:val="00856F28"/>
    <w:rsid w:val="00860315"/>
    <w:rsid w:val="00861649"/>
    <w:rsid w:val="00863208"/>
    <w:rsid w:val="008653DE"/>
    <w:rsid w:val="00870078"/>
    <w:rsid w:val="00870250"/>
    <w:rsid w:val="008736E3"/>
    <w:rsid w:val="00875193"/>
    <w:rsid w:val="008751AD"/>
    <w:rsid w:val="00876575"/>
    <w:rsid w:val="008800ED"/>
    <w:rsid w:val="00883086"/>
    <w:rsid w:val="00884792"/>
    <w:rsid w:val="00885569"/>
    <w:rsid w:val="008855B8"/>
    <w:rsid w:val="008878EF"/>
    <w:rsid w:val="00890BC3"/>
    <w:rsid w:val="0089185B"/>
    <w:rsid w:val="00894F20"/>
    <w:rsid w:val="00895823"/>
    <w:rsid w:val="008958B5"/>
    <w:rsid w:val="008A0F9B"/>
    <w:rsid w:val="008A2545"/>
    <w:rsid w:val="008A344B"/>
    <w:rsid w:val="008A42F9"/>
    <w:rsid w:val="008A78D6"/>
    <w:rsid w:val="008B136D"/>
    <w:rsid w:val="008B1D29"/>
    <w:rsid w:val="008B25A9"/>
    <w:rsid w:val="008B5BF0"/>
    <w:rsid w:val="008B6B9D"/>
    <w:rsid w:val="008B7765"/>
    <w:rsid w:val="008B78D4"/>
    <w:rsid w:val="008C08B2"/>
    <w:rsid w:val="008C3389"/>
    <w:rsid w:val="008C4E22"/>
    <w:rsid w:val="008D1A89"/>
    <w:rsid w:val="008D236E"/>
    <w:rsid w:val="008D3191"/>
    <w:rsid w:val="008E2216"/>
    <w:rsid w:val="008E30E0"/>
    <w:rsid w:val="008E4F65"/>
    <w:rsid w:val="008E51E8"/>
    <w:rsid w:val="008E6212"/>
    <w:rsid w:val="008F02D3"/>
    <w:rsid w:val="008F3914"/>
    <w:rsid w:val="008F3C2C"/>
    <w:rsid w:val="008F4435"/>
    <w:rsid w:val="008F4452"/>
    <w:rsid w:val="008F4856"/>
    <w:rsid w:val="008F79A5"/>
    <w:rsid w:val="00904068"/>
    <w:rsid w:val="00904A94"/>
    <w:rsid w:val="0090731A"/>
    <w:rsid w:val="00910C06"/>
    <w:rsid w:val="009140DB"/>
    <w:rsid w:val="00914A2A"/>
    <w:rsid w:val="00914FF6"/>
    <w:rsid w:val="00916121"/>
    <w:rsid w:val="00921DF5"/>
    <w:rsid w:val="009239B6"/>
    <w:rsid w:val="009262CC"/>
    <w:rsid w:val="00932DB2"/>
    <w:rsid w:val="009331D7"/>
    <w:rsid w:val="00933B2F"/>
    <w:rsid w:val="00934608"/>
    <w:rsid w:val="009361CF"/>
    <w:rsid w:val="00936C0F"/>
    <w:rsid w:val="0093722E"/>
    <w:rsid w:val="00937BB4"/>
    <w:rsid w:val="009439BA"/>
    <w:rsid w:val="009500F9"/>
    <w:rsid w:val="00950D1E"/>
    <w:rsid w:val="00961822"/>
    <w:rsid w:val="009655F1"/>
    <w:rsid w:val="009661EF"/>
    <w:rsid w:val="009670F3"/>
    <w:rsid w:val="009753A9"/>
    <w:rsid w:val="00975425"/>
    <w:rsid w:val="00975FA2"/>
    <w:rsid w:val="0097709C"/>
    <w:rsid w:val="0097715D"/>
    <w:rsid w:val="00982901"/>
    <w:rsid w:val="00983B2F"/>
    <w:rsid w:val="009850E4"/>
    <w:rsid w:val="0098666B"/>
    <w:rsid w:val="0098669F"/>
    <w:rsid w:val="00987657"/>
    <w:rsid w:val="009954FA"/>
    <w:rsid w:val="009A4966"/>
    <w:rsid w:val="009B22E8"/>
    <w:rsid w:val="009B5FC6"/>
    <w:rsid w:val="009C19F6"/>
    <w:rsid w:val="009C2C03"/>
    <w:rsid w:val="009C3FF6"/>
    <w:rsid w:val="009C70B8"/>
    <w:rsid w:val="009D09A8"/>
    <w:rsid w:val="009D1ECB"/>
    <w:rsid w:val="009D3CE3"/>
    <w:rsid w:val="009D3F96"/>
    <w:rsid w:val="009E2B7F"/>
    <w:rsid w:val="009E740A"/>
    <w:rsid w:val="009F015C"/>
    <w:rsid w:val="009F1B37"/>
    <w:rsid w:val="009F4DEA"/>
    <w:rsid w:val="009F5765"/>
    <w:rsid w:val="009F6373"/>
    <w:rsid w:val="009F76CC"/>
    <w:rsid w:val="00A0077B"/>
    <w:rsid w:val="00A029A5"/>
    <w:rsid w:val="00A02E12"/>
    <w:rsid w:val="00A02F32"/>
    <w:rsid w:val="00A056EF"/>
    <w:rsid w:val="00A05BA9"/>
    <w:rsid w:val="00A07A07"/>
    <w:rsid w:val="00A116F9"/>
    <w:rsid w:val="00A12020"/>
    <w:rsid w:val="00A12BCF"/>
    <w:rsid w:val="00A13B1D"/>
    <w:rsid w:val="00A13CC6"/>
    <w:rsid w:val="00A2310C"/>
    <w:rsid w:val="00A258EC"/>
    <w:rsid w:val="00A3113D"/>
    <w:rsid w:val="00A35C46"/>
    <w:rsid w:val="00A4219B"/>
    <w:rsid w:val="00A4257A"/>
    <w:rsid w:val="00A46573"/>
    <w:rsid w:val="00A50963"/>
    <w:rsid w:val="00A537EF"/>
    <w:rsid w:val="00A60933"/>
    <w:rsid w:val="00A63FD2"/>
    <w:rsid w:val="00A65280"/>
    <w:rsid w:val="00A654B2"/>
    <w:rsid w:val="00A67E1B"/>
    <w:rsid w:val="00A7113E"/>
    <w:rsid w:val="00A7387D"/>
    <w:rsid w:val="00A74578"/>
    <w:rsid w:val="00A7620B"/>
    <w:rsid w:val="00A80B40"/>
    <w:rsid w:val="00A812A4"/>
    <w:rsid w:val="00A936B3"/>
    <w:rsid w:val="00A93AE8"/>
    <w:rsid w:val="00A97438"/>
    <w:rsid w:val="00AA0F18"/>
    <w:rsid w:val="00AA3A66"/>
    <w:rsid w:val="00AB12D0"/>
    <w:rsid w:val="00AB1FB5"/>
    <w:rsid w:val="00AB245C"/>
    <w:rsid w:val="00AB2E23"/>
    <w:rsid w:val="00AC3EE7"/>
    <w:rsid w:val="00AC3FBB"/>
    <w:rsid w:val="00AC4040"/>
    <w:rsid w:val="00AD6AB8"/>
    <w:rsid w:val="00AD7DC3"/>
    <w:rsid w:val="00AE7993"/>
    <w:rsid w:val="00AF4026"/>
    <w:rsid w:val="00AF48E2"/>
    <w:rsid w:val="00AF4AE1"/>
    <w:rsid w:val="00AF5675"/>
    <w:rsid w:val="00AF6A8F"/>
    <w:rsid w:val="00AF6E28"/>
    <w:rsid w:val="00B12C0B"/>
    <w:rsid w:val="00B138BD"/>
    <w:rsid w:val="00B14660"/>
    <w:rsid w:val="00B14997"/>
    <w:rsid w:val="00B1607B"/>
    <w:rsid w:val="00B16AE1"/>
    <w:rsid w:val="00B20F69"/>
    <w:rsid w:val="00B2169A"/>
    <w:rsid w:val="00B24665"/>
    <w:rsid w:val="00B268B9"/>
    <w:rsid w:val="00B272C9"/>
    <w:rsid w:val="00B34875"/>
    <w:rsid w:val="00B34D78"/>
    <w:rsid w:val="00B3573A"/>
    <w:rsid w:val="00B35FA5"/>
    <w:rsid w:val="00B37B29"/>
    <w:rsid w:val="00B413C2"/>
    <w:rsid w:val="00B43D9D"/>
    <w:rsid w:val="00B449B8"/>
    <w:rsid w:val="00B45DDC"/>
    <w:rsid w:val="00B51E3C"/>
    <w:rsid w:val="00B55928"/>
    <w:rsid w:val="00B56A33"/>
    <w:rsid w:val="00B60F1E"/>
    <w:rsid w:val="00B61CB9"/>
    <w:rsid w:val="00B620BB"/>
    <w:rsid w:val="00B64DCD"/>
    <w:rsid w:val="00B75196"/>
    <w:rsid w:val="00B75942"/>
    <w:rsid w:val="00B75D12"/>
    <w:rsid w:val="00B77073"/>
    <w:rsid w:val="00B771F9"/>
    <w:rsid w:val="00B812AB"/>
    <w:rsid w:val="00B81ACB"/>
    <w:rsid w:val="00B84CD7"/>
    <w:rsid w:val="00B925DE"/>
    <w:rsid w:val="00B9289B"/>
    <w:rsid w:val="00B93FF9"/>
    <w:rsid w:val="00B947E4"/>
    <w:rsid w:val="00BA2B23"/>
    <w:rsid w:val="00BA3F7B"/>
    <w:rsid w:val="00BB4A0E"/>
    <w:rsid w:val="00BB4EF6"/>
    <w:rsid w:val="00BC0C69"/>
    <w:rsid w:val="00BD5059"/>
    <w:rsid w:val="00BD507B"/>
    <w:rsid w:val="00BD6AD3"/>
    <w:rsid w:val="00BE0A16"/>
    <w:rsid w:val="00BE185A"/>
    <w:rsid w:val="00BE481C"/>
    <w:rsid w:val="00BE55B6"/>
    <w:rsid w:val="00BE5C75"/>
    <w:rsid w:val="00BE717A"/>
    <w:rsid w:val="00BF1EF9"/>
    <w:rsid w:val="00BF760F"/>
    <w:rsid w:val="00C01E25"/>
    <w:rsid w:val="00C032D6"/>
    <w:rsid w:val="00C0743A"/>
    <w:rsid w:val="00C07C94"/>
    <w:rsid w:val="00C134E6"/>
    <w:rsid w:val="00C16677"/>
    <w:rsid w:val="00C16D62"/>
    <w:rsid w:val="00C217AD"/>
    <w:rsid w:val="00C24823"/>
    <w:rsid w:val="00C25EC1"/>
    <w:rsid w:val="00C3132B"/>
    <w:rsid w:val="00C348E8"/>
    <w:rsid w:val="00C349DB"/>
    <w:rsid w:val="00C358DE"/>
    <w:rsid w:val="00C43BF2"/>
    <w:rsid w:val="00C444F4"/>
    <w:rsid w:val="00C46B1B"/>
    <w:rsid w:val="00C55676"/>
    <w:rsid w:val="00C57ECF"/>
    <w:rsid w:val="00C635E7"/>
    <w:rsid w:val="00C63A83"/>
    <w:rsid w:val="00C66DA0"/>
    <w:rsid w:val="00C776F7"/>
    <w:rsid w:val="00C86C32"/>
    <w:rsid w:val="00C90F3B"/>
    <w:rsid w:val="00C925FF"/>
    <w:rsid w:val="00C92D74"/>
    <w:rsid w:val="00C93C14"/>
    <w:rsid w:val="00C94F6B"/>
    <w:rsid w:val="00C9689B"/>
    <w:rsid w:val="00CA2F4B"/>
    <w:rsid w:val="00CA65CA"/>
    <w:rsid w:val="00CB25B8"/>
    <w:rsid w:val="00CB513D"/>
    <w:rsid w:val="00CC0F7D"/>
    <w:rsid w:val="00CC61FD"/>
    <w:rsid w:val="00CD2454"/>
    <w:rsid w:val="00CD30F3"/>
    <w:rsid w:val="00CD4259"/>
    <w:rsid w:val="00CD4BAF"/>
    <w:rsid w:val="00CD5607"/>
    <w:rsid w:val="00CE192B"/>
    <w:rsid w:val="00CF4E46"/>
    <w:rsid w:val="00D029EC"/>
    <w:rsid w:val="00D141DB"/>
    <w:rsid w:val="00D15CB9"/>
    <w:rsid w:val="00D16ED9"/>
    <w:rsid w:val="00D17221"/>
    <w:rsid w:val="00D17BA8"/>
    <w:rsid w:val="00D21AF1"/>
    <w:rsid w:val="00D21E23"/>
    <w:rsid w:val="00D23EAF"/>
    <w:rsid w:val="00D2468E"/>
    <w:rsid w:val="00D24771"/>
    <w:rsid w:val="00D247D4"/>
    <w:rsid w:val="00D24EFF"/>
    <w:rsid w:val="00D30EDB"/>
    <w:rsid w:val="00D326E9"/>
    <w:rsid w:val="00D3435C"/>
    <w:rsid w:val="00D34617"/>
    <w:rsid w:val="00D370C2"/>
    <w:rsid w:val="00D371E3"/>
    <w:rsid w:val="00D37D3D"/>
    <w:rsid w:val="00D42252"/>
    <w:rsid w:val="00D440F0"/>
    <w:rsid w:val="00D47102"/>
    <w:rsid w:val="00D50EBF"/>
    <w:rsid w:val="00D53947"/>
    <w:rsid w:val="00D56D0A"/>
    <w:rsid w:val="00D57660"/>
    <w:rsid w:val="00D669C5"/>
    <w:rsid w:val="00D67FFD"/>
    <w:rsid w:val="00D7574B"/>
    <w:rsid w:val="00D75E1B"/>
    <w:rsid w:val="00D768DB"/>
    <w:rsid w:val="00D7734C"/>
    <w:rsid w:val="00D83A00"/>
    <w:rsid w:val="00D90504"/>
    <w:rsid w:val="00D90683"/>
    <w:rsid w:val="00D907F8"/>
    <w:rsid w:val="00D9117D"/>
    <w:rsid w:val="00D91FED"/>
    <w:rsid w:val="00D93575"/>
    <w:rsid w:val="00D93730"/>
    <w:rsid w:val="00D938AD"/>
    <w:rsid w:val="00D94102"/>
    <w:rsid w:val="00D97C09"/>
    <w:rsid w:val="00DA1814"/>
    <w:rsid w:val="00DA63F3"/>
    <w:rsid w:val="00DA6E4E"/>
    <w:rsid w:val="00DA70DC"/>
    <w:rsid w:val="00DB2C63"/>
    <w:rsid w:val="00DB3C49"/>
    <w:rsid w:val="00DB7864"/>
    <w:rsid w:val="00DC04D0"/>
    <w:rsid w:val="00DC1DB5"/>
    <w:rsid w:val="00DC6E6D"/>
    <w:rsid w:val="00DC721A"/>
    <w:rsid w:val="00DD2747"/>
    <w:rsid w:val="00DD28BD"/>
    <w:rsid w:val="00DD32D3"/>
    <w:rsid w:val="00DD6F9D"/>
    <w:rsid w:val="00DD73E2"/>
    <w:rsid w:val="00DE590D"/>
    <w:rsid w:val="00DE5F04"/>
    <w:rsid w:val="00DE70E4"/>
    <w:rsid w:val="00DE75B7"/>
    <w:rsid w:val="00DE7712"/>
    <w:rsid w:val="00DF0DB8"/>
    <w:rsid w:val="00E007FF"/>
    <w:rsid w:val="00E0108B"/>
    <w:rsid w:val="00E02079"/>
    <w:rsid w:val="00E13580"/>
    <w:rsid w:val="00E14EB8"/>
    <w:rsid w:val="00E15224"/>
    <w:rsid w:val="00E15DD0"/>
    <w:rsid w:val="00E17909"/>
    <w:rsid w:val="00E2177B"/>
    <w:rsid w:val="00E223A2"/>
    <w:rsid w:val="00E239C3"/>
    <w:rsid w:val="00E24CB5"/>
    <w:rsid w:val="00E25D4A"/>
    <w:rsid w:val="00E25D85"/>
    <w:rsid w:val="00E26BD9"/>
    <w:rsid w:val="00E27A08"/>
    <w:rsid w:val="00E3025D"/>
    <w:rsid w:val="00E3302C"/>
    <w:rsid w:val="00E374E2"/>
    <w:rsid w:val="00E44CCE"/>
    <w:rsid w:val="00E477C1"/>
    <w:rsid w:val="00E516AD"/>
    <w:rsid w:val="00E523EB"/>
    <w:rsid w:val="00E5591E"/>
    <w:rsid w:val="00E559B6"/>
    <w:rsid w:val="00E56459"/>
    <w:rsid w:val="00E60C81"/>
    <w:rsid w:val="00E625A0"/>
    <w:rsid w:val="00E702F6"/>
    <w:rsid w:val="00E71387"/>
    <w:rsid w:val="00E75849"/>
    <w:rsid w:val="00E7733E"/>
    <w:rsid w:val="00E77672"/>
    <w:rsid w:val="00E81A26"/>
    <w:rsid w:val="00E915AB"/>
    <w:rsid w:val="00E935A9"/>
    <w:rsid w:val="00E9365C"/>
    <w:rsid w:val="00E9452F"/>
    <w:rsid w:val="00E967AC"/>
    <w:rsid w:val="00EA0107"/>
    <w:rsid w:val="00EA1FAE"/>
    <w:rsid w:val="00EA34A1"/>
    <w:rsid w:val="00EA76B4"/>
    <w:rsid w:val="00EB0E21"/>
    <w:rsid w:val="00EB1861"/>
    <w:rsid w:val="00EB527A"/>
    <w:rsid w:val="00EC034B"/>
    <w:rsid w:val="00EC1AA8"/>
    <w:rsid w:val="00EC4BA9"/>
    <w:rsid w:val="00EC6E59"/>
    <w:rsid w:val="00ED2EF7"/>
    <w:rsid w:val="00ED33DE"/>
    <w:rsid w:val="00EE43C2"/>
    <w:rsid w:val="00EE47DC"/>
    <w:rsid w:val="00EE4955"/>
    <w:rsid w:val="00EF10F2"/>
    <w:rsid w:val="00EF3B1B"/>
    <w:rsid w:val="00EF7B65"/>
    <w:rsid w:val="00F0354D"/>
    <w:rsid w:val="00F043D3"/>
    <w:rsid w:val="00F04622"/>
    <w:rsid w:val="00F057BE"/>
    <w:rsid w:val="00F067E6"/>
    <w:rsid w:val="00F07491"/>
    <w:rsid w:val="00F077B6"/>
    <w:rsid w:val="00F12DED"/>
    <w:rsid w:val="00F13C10"/>
    <w:rsid w:val="00F14B2F"/>
    <w:rsid w:val="00F15E2D"/>
    <w:rsid w:val="00F17E8A"/>
    <w:rsid w:val="00F20ABB"/>
    <w:rsid w:val="00F20F58"/>
    <w:rsid w:val="00F21885"/>
    <w:rsid w:val="00F24918"/>
    <w:rsid w:val="00F26F68"/>
    <w:rsid w:val="00F309B1"/>
    <w:rsid w:val="00F36FAB"/>
    <w:rsid w:val="00F40BCF"/>
    <w:rsid w:val="00F40EE4"/>
    <w:rsid w:val="00F429E7"/>
    <w:rsid w:val="00F456E1"/>
    <w:rsid w:val="00F47E01"/>
    <w:rsid w:val="00F5272C"/>
    <w:rsid w:val="00F529A9"/>
    <w:rsid w:val="00F558EF"/>
    <w:rsid w:val="00F5688A"/>
    <w:rsid w:val="00F57D9C"/>
    <w:rsid w:val="00F60810"/>
    <w:rsid w:val="00F61923"/>
    <w:rsid w:val="00F64CB0"/>
    <w:rsid w:val="00F75E1A"/>
    <w:rsid w:val="00F765A2"/>
    <w:rsid w:val="00F82474"/>
    <w:rsid w:val="00F85236"/>
    <w:rsid w:val="00F85920"/>
    <w:rsid w:val="00F87620"/>
    <w:rsid w:val="00F90A5F"/>
    <w:rsid w:val="00F91017"/>
    <w:rsid w:val="00F9142B"/>
    <w:rsid w:val="00F94916"/>
    <w:rsid w:val="00FA148C"/>
    <w:rsid w:val="00FB1678"/>
    <w:rsid w:val="00FB2603"/>
    <w:rsid w:val="00FB5BD1"/>
    <w:rsid w:val="00FB60CB"/>
    <w:rsid w:val="00FC0426"/>
    <w:rsid w:val="00FC437D"/>
    <w:rsid w:val="00FC6F47"/>
    <w:rsid w:val="00FD27AC"/>
    <w:rsid w:val="00FD3A5A"/>
    <w:rsid w:val="00FD4694"/>
    <w:rsid w:val="00FE02D1"/>
    <w:rsid w:val="00FF1099"/>
    <w:rsid w:val="00FF65B1"/>
    <w:rsid w:val="00FF6E81"/>
    <w:rsid w:val="01C247F0"/>
    <w:rsid w:val="030828EF"/>
    <w:rsid w:val="03971273"/>
    <w:rsid w:val="03FB5C5B"/>
    <w:rsid w:val="040C25C7"/>
    <w:rsid w:val="046355CC"/>
    <w:rsid w:val="04804FC5"/>
    <w:rsid w:val="055408A9"/>
    <w:rsid w:val="062601E1"/>
    <w:rsid w:val="066A50F9"/>
    <w:rsid w:val="068330DD"/>
    <w:rsid w:val="068E48F7"/>
    <w:rsid w:val="06AE1485"/>
    <w:rsid w:val="083C7992"/>
    <w:rsid w:val="093506A8"/>
    <w:rsid w:val="0A0F26E6"/>
    <w:rsid w:val="0A670535"/>
    <w:rsid w:val="0A784052"/>
    <w:rsid w:val="0A9215EE"/>
    <w:rsid w:val="0D903663"/>
    <w:rsid w:val="0DDD7733"/>
    <w:rsid w:val="1023528A"/>
    <w:rsid w:val="113605CA"/>
    <w:rsid w:val="11F91914"/>
    <w:rsid w:val="124B0112"/>
    <w:rsid w:val="126055FA"/>
    <w:rsid w:val="12A742D9"/>
    <w:rsid w:val="12C67A5C"/>
    <w:rsid w:val="12E2361D"/>
    <w:rsid w:val="13FE5AC8"/>
    <w:rsid w:val="14D75F5A"/>
    <w:rsid w:val="15EE3433"/>
    <w:rsid w:val="18317374"/>
    <w:rsid w:val="183B11C6"/>
    <w:rsid w:val="18BA7C80"/>
    <w:rsid w:val="194F02C7"/>
    <w:rsid w:val="19A463D6"/>
    <w:rsid w:val="1AB8008C"/>
    <w:rsid w:val="1B3B3CBE"/>
    <w:rsid w:val="1B4E7A13"/>
    <w:rsid w:val="1B5A6653"/>
    <w:rsid w:val="1CC07A81"/>
    <w:rsid w:val="1D4C50EA"/>
    <w:rsid w:val="1D7A60CB"/>
    <w:rsid w:val="1F59377E"/>
    <w:rsid w:val="1FED4BA9"/>
    <w:rsid w:val="20FC3C98"/>
    <w:rsid w:val="21537428"/>
    <w:rsid w:val="216364D8"/>
    <w:rsid w:val="223E6344"/>
    <w:rsid w:val="23264A8E"/>
    <w:rsid w:val="23445A31"/>
    <w:rsid w:val="24046B69"/>
    <w:rsid w:val="240C2E2D"/>
    <w:rsid w:val="247F06C6"/>
    <w:rsid w:val="24A37128"/>
    <w:rsid w:val="25117DD7"/>
    <w:rsid w:val="2580570A"/>
    <w:rsid w:val="25A92BF1"/>
    <w:rsid w:val="261C5147"/>
    <w:rsid w:val="26EB3CA3"/>
    <w:rsid w:val="273F38D1"/>
    <w:rsid w:val="27BC430E"/>
    <w:rsid w:val="27C15CF8"/>
    <w:rsid w:val="27E901D9"/>
    <w:rsid w:val="29596816"/>
    <w:rsid w:val="29745729"/>
    <w:rsid w:val="297C6A91"/>
    <w:rsid w:val="29862DD4"/>
    <w:rsid w:val="29A7365D"/>
    <w:rsid w:val="29D256C3"/>
    <w:rsid w:val="2BAA33CF"/>
    <w:rsid w:val="2BB37BA2"/>
    <w:rsid w:val="2BC0035E"/>
    <w:rsid w:val="2BC91E2A"/>
    <w:rsid w:val="2C1B2614"/>
    <w:rsid w:val="2CD46BA0"/>
    <w:rsid w:val="2D2E2AF2"/>
    <w:rsid w:val="2D60221A"/>
    <w:rsid w:val="2DD77A56"/>
    <w:rsid w:val="2E06778F"/>
    <w:rsid w:val="2E964C51"/>
    <w:rsid w:val="2F176141"/>
    <w:rsid w:val="2F8D6403"/>
    <w:rsid w:val="3038412D"/>
    <w:rsid w:val="305C3331"/>
    <w:rsid w:val="30D616E4"/>
    <w:rsid w:val="31D36A86"/>
    <w:rsid w:val="31EA3699"/>
    <w:rsid w:val="33CB0884"/>
    <w:rsid w:val="34401A8B"/>
    <w:rsid w:val="34D76C91"/>
    <w:rsid w:val="34E31DA1"/>
    <w:rsid w:val="3516266F"/>
    <w:rsid w:val="354A0BB2"/>
    <w:rsid w:val="357B604D"/>
    <w:rsid w:val="35B27AD0"/>
    <w:rsid w:val="35E037F3"/>
    <w:rsid w:val="3659585E"/>
    <w:rsid w:val="36FC7442"/>
    <w:rsid w:val="375D0761"/>
    <w:rsid w:val="386947E2"/>
    <w:rsid w:val="38B009EA"/>
    <w:rsid w:val="39552B65"/>
    <w:rsid w:val="396430B4"/>
    <w:rsid w:val="39725C4D"/>
    <w:rsid w:val="39F63852"/>
    <w:rsid w:val="3A6D4031"/>
    <w:rsid w:val="3A8601A8"/>
    <w:rsid w:val="3AC577F8"/>
    <w:rsid w:val="3AD12CDF"/>
    <w:rsid w:val="3B59226A"/>
    <w:rsid w:val="3B770624"/>
    <w:rsid w:val="3BC6067B"/>
    <w:rsid w:val="3C92164A"/>
    <w:rsid w:val="3D527DE1"/>
    <w:rsid w:val="3D6407A3"/>
    <w:rsid w:val="3E6D1C34"/>
    <w:rsid w:val="3F2F4568"/>
    <w:rsid w:val="40C75BD5"/>
    <w:rsid w:val="431C4E4C"/>
    <w:rsid w:val="4355099C"/>
    <w:rsid w:val="44BB3CD0"/>
    <w:rsid w:val="44E9469A"/>
    <w:rsid w:val="455C49D9"/>
    <w:rsid w:val="45AE3E05"/>
    <w:rsid w:val="46184BA6"/>
    <w:rsid w:val="464C05E2"/>
    <w:rsid w:val="466462BE"/>
    <w:rsid w:val="474349B2"/>
    <w:rsid w:val="47D12D68"/>
    <w:rsid w:val="482A0177"/>
    <w:rsid w:val="482D2279"/>
    <w:rsid w:val="48937AEE"/>
    <w:rsid w:val="49DD17B7"/>
    <w:rsid w:val="4AFD1EF5"/>
    <w:rsid w:val="4B592F97"/>
    <w:rsid w:val="4B686A22"/>
    <w:rsid w:val="4B753381"/>
    <w:rsid w:val="4B917087"/>
    <w:rsid w:val="4BE156B5"/>
    <w:rsid w:val="4C456D5A"/>
    <w:rsid w:val="4C667FFF"/>
    <w:rsid w:val="4D817884"/>
    <w:rsid w:val="4E7F799D"/>
    <w:rsid w:val="4EDB6B8C"/>
    <w:rsid w:val="4F317D35"/>
    <w:rsid w:val="4F411D97"/>
    <w:rsid w:val="4FA0639C"/>
    <w:rsid w:val="4FFD7B08"/>
    <w:rsid w:val="502E17E7"/>
    <w:rsid w:val="50947A66"/>
    <w:rsid w:val="5160430F"/>
    <w:rsid w:val="51961ED7"/>
    <w:rsid w:val="52075517"/>
    <w:rsid w:val="525B5757"/>
    <w:rsid w:val="52817DF1"/>
    <w:rsid w:val="528720B0"/>
    <w:rsid w:val="5406247D"/>
    <w:rsid w:val="541D5F7A"/>
    <w:rsid w:val="544256CC"/>
    <w:rsid w:val="552C5BF2"/>
    <w:rsid w:val="558F536E"/>
    <w:rsid w:val="55C11DB5"/>
    <w:rsid w:val="561D1ADC"/>
    <w:rsid w:val="56B32E4B"/>
    <w:rsid w:val="5806606B"/>
    <w:rsid w:val="586C6306"/>
    <w:rsid w:val="591779D2"/>
    <w:rsid w:val="591B3F48"/>
    <w:rsid w:val="592F5B1B"/>
    <w:rsid w:val="59DF76D7"/>
    <w:rsid w:val="5A9C667C"/>
    <w:rsid w:val="5AA20E84"/>
    <w:rsid w:val="5AF319E8"/>
    <w:rsid w:val="5B092AA8"/>
    <w:rsid w:val="5B1D3385"/>
    <w:rsid w:val="5B5C04D8"/>
    <w:rsid w:val="5B872A5C"/>
    <w:rsid w:val="5BB33170"/>
    <w:rsid w:val="5BDF7B37"/>
    <w:rsid w:val="5C4C0BFA"/>
    <w:rsid w:val="5CD8346F"/>
    <w:rsid w:val="5CED211A"/>
    <w:rsid w:val="5D9E0CCE"/>
    <w:rsid w:val="5DEF17B3"/>
    <w:rsid w:val="5E610A53"/>
    <w:rsid w:val="5E842EFF"/>
    <w:rsid w:val="5E853C13"/>
    <w:rsid w:val="5F72420E"/>
    <w:rsid w:val="5FC20A03"/>
    <w:rsid w:val="61AF0F9A"/>
    <w:rsid w:val="62092870"/>
    <w:rsid w:val="626B16C7"/>
    <w:rsid w:val="634045EC"/>
    <w:rsid w:val="63BC451E"/>
    <w:rsid w:val="63DB189F"/>
    <w:rsid w:val="63E73C0D"/>
    <w:rsid w:val="63F672C8"/>
    <w:rsid w:val="64EB5CA0"/>
    <w:rsid w:val="652F0DE7"/>
    <w:rsid w:val="65C665C2"/>
    <w:rsid w:val="6634143C"/>
    <w:rsid w:val="66E74EE0"/>
    <w:rsid w:val="680D6C22"/>
    <w:rsid w:val="68887049"/>
    <w:rsid w:val="694832D9"/>
    <w:rsid w:val="6AD8418A"/>
    <w:rsid w:val="6B0936F2"/>
    <w:rsid w:val="6B5316EF"/>
    <w:rsid w:val="6C6241DE"/>
    <w:rsid w:val="6C950F63"/>
    <w:rsid w:val="6CD27631"/>
    <w:rsid w:val="6F006DEE"/>
    <w:rsid w:val="6F881507"/>
    <w:rsid w:val="6FB901D6"/>
    <w:rsid w:val="708044C8"/>
    <w:rsid w:val="72280D1F"/>
    <w:rsid w:val="756B0D02"/>
    <w:rsid w:val="764346F2"/>
    <w:rsid w:val="76D27207"/>
    <w:rsid w:val="77114867"/>
    <w:rsid w:val="772F592A"/>
    <w:rsid w:val="77E138BA"/>
    <w:rsid w:val="78271E31"/>
    <w:rsid w:val="78C24A8B"/>
    <w:rsid w:val="798B59C3"/>
    <w:rsid w:val="7B7934A2"/>
    <w:rsid w:val="7BBF7CB0"/>
    <w:rsid w:val="7C766AD0"/>
    <w:rsid w:val="7C984A24"/>
    <w:rsid w:val="7CCE32FE"/>
    <w:rsid w:val="7D014696"/>
    <w:rsid w:val="7D842CD5"/>
    <w:rsid w:val="7DEE3196"/>
    <w:rsid w:val="7E4B353D"/>
    <w:rsid w:val="7E991D34"/>
    <w:rsid w:val="7F7E79DF"/>
    <w:rsid w:val="7FE66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0"/>
    <w:pPr>
      <w:keepNext/>
      <w:keepLines/>
      <w:spacing w:before="260" w:after="260" w:line="416" w:lineRule="auto"/>
      <w:outlineLvl w:val="1"/>
    </w:pPr>
    <w:rPr>
      <w:rFonts w:ascii="Arial" w:hAnsi="Arial" w:eastAsia="黑体"/>
      <w:b/>
      <w:bCs/>
      <w:sz w:val="32"/>
      <w:szCs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ind w:left="1260"/>
      <w:jc w:val="left"/>
    </w:pPr>
    <w:rPr>
      <w:sz w:val="18"/>
      <w:szCs w:val="18"/>
    </w:rPr>
  </w:style>
  <w:style w:type="paragraph" w:styleId="5">
    <w:name w:val="annotation text"/>
    <w:basedOn w:val="1"/>
    <w:link w:val="40"/>
    <w:semiHidden/>
    <w:unhideWhenUsed/>
    <w:qFormat/>
    <w:uiPriority w:val="99"/>
    <w:pPr>
      <w:jc w:val="left"/>
    </w:pPr>
  </w:style>
  <w:style w:type="paragraph" w:styleId="6">
    <w:name w:val="Body Text Indent"/>
    <w:basedOn w:val="1"/>
    <w:link w:val="37"/>
    <w:qFormat/>
    <w:uiPriority w:val="0"/>
    <w:pPr>
      <w:ind w:firstLine="4780" w:firstLineChars="1707"/>
    </w:pPr>
    <w:rPr>
      <w:sz w:val="28"/>
      <w:szCs w:val="20"/>
    </w:rPr>
  </w:style>
  <w:style w:type="paragraph" w:styleId="7">
    <w:name w:val="toc 5"/>
    <w:basedOn w:val="1"/>
    <w:next w:val="1"/>
    <w:semiHidden/>
    <w:qFormat/>
    <w:uiPriority w:val="0"/>
    <w:pPr>
      <w:ind w:left="840"/>
      <w:jc w:val="left"/>
    </w:pPr>
    <w:rPr>
      <w:sz w:val="18"/>
      <w:szCs w:val="18"/>
    </w:rPr>
  </w:style>
  <w:style w:type="paragraph" w:styleId="8">
    <w:name w:val="toc 3"/>
    <w:basedOn w:val="1"/>
    <w:next w:val="1"/>
    <w:semiHidden/>
    <w:qFormat/>
    <w:uiPriority w:val="0"/>
    <w:pPr>
      <w:ind w:left="420"/>
      <w:jc w:val="left"/>
    </w:pPr>
    <w:rPr>
      <w:i/>
      <w:iCs/>
      <w:sz w:val="20"/>
      <w:szCs w:val="20"/>
    </w:rPr>
  </w:style>
  <w:style w:type="paragraph" w:styleId="9">
    <w:name w:val="Plain Text"/>
    <w:basedOn w:val="1"/>
    <w:link w:val="38"/>
    <w:qFormat/>
    <w:uiPriority w:val="0"/>
    <w:rPr>
      <w:rFonts w:ascii="宋体" w:hAnsi="Courier New"/>
      <w:szCs w:val="21"/>
    </w:rPr>
  </w:style>
  <w:style w:type="paragraph" w:styleId="10">
    <w:name w:val="toc 8"/>
    <w:basedOn w:val="1"/>
    <w:next w:val="1"/>
    <w:semiHidden/>
    <w:qFormat/>
    <w:uiPriority w:val="0"/>
    <w:pPr>
      <w:ind w:left="1470"/>
      <w:jc w:val="left"/>
    </w:pPr>
    <w:rPr>
      <w:sz w:val="18"/>
      <w:szCs w:val="18"/>
    </w:rPr>
  </w:style>
  <w:style w:type="paragraph" w:styleId="11">
    <w:name w:val="Balloon Text"/>
    <w:basedOn w:val="1"/>
    <w:link w:val="39"/>
    <w:semiHidden/>
    <w:unhideWhenUsed/>
    <w:qFormat/>
    <w:uiPriority w:val="99"/>
    <w:rPr>
      <w:sz w:val="18"/>
      <w:szCs w:val="18"/>
    </w:rPr>
  </w:style>
  <w:style w:type="paragraph" w:styleId="12">
    <w:name w:val="footer"/>
    <w:basedOn w:val="1"/>
    <w:link w:val="31"/>
    <w:qFormat/>
    <w:uiPriority w:val="0"/>
    <w:pPr>
      <w:tabs>
        <w:tab w:val="center" w:pos="4153"/>
        <w:tab w:val="right" w:pos="8306"/>
      </w:tabs>
      <w:snapToGrid w:val="0"/>
      <w:jc w:val="left"/>
    </w:pPr>
    <w:rPr>
      <w:sz w:val="18"/>
      <w:szCs w:val="18"/>
    </w:rPr>
  </w:style>
  <w:style w:type="paragraph" w:styleId="13">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semiHidden/>
    <w:qFormat/>
    <w:uiPriority w:val="0"/>
    <w:pPr>
      <w:spacing w:before="120" w:after="120"/>
      <w:jc w:val="left"/>
    </w:pPr>
    <w:rPr>
      <w:b/>
      <w:bCs/>
      <w:caps/>
      <w:sz w:val="20"/>
      <w:szCs w:val="20"/>
    </w:rPr>
  </w:style>
  <w:style w:type="paragraph" w:styleId="15">
    <w:name w:val="toc 4"/>
    <w:basedOn w:val="1"/>
    <w:next w:val="1"/>
    <w:semiHidden/>
    <w:qFormat/>
    <w:uiPriority w:val="0"/>
    <w:pPr>
      <w:ind w:left="630"/>
      <w:jc w:val="left"/>
    </w:pPr>
    <w:rPr>
      <w:sz w:val="18"/>
      <w:szCs w:val="18"/>
    </w:rPr>
  </w:style>
  <w:style w:type="paragraph" w:styleId="16">
    <w:name w:val="toc 6"/>
    <w:basedOn w:val="1"/>
    <w:next w:val="1"/>
    <w:semiHidden/>
    <w:qFormat/>
    <w:uiPriority w:val="0"/>
    <w:pPr>
      <w:ind w:left="1050"/>
      <w:jc w:val="left"/>
    </w:pPr>
    <w:rPr>
      <w:sz w:val="18"/>
      <w:szCs w:val="18"/>
    </w:rPr>
  </w:style>
  <w:style w:type="paragraph" w:styleId="17">
    <w:name w:val="toc 2"/>
    <w:basedOn w:val="1"/>
    <w:next w:val="1"/>
    <w:semiHidden/>
    <w:qFormat/>
    <w:uiPriority w:val="0"/>
    <w:pPr>
      <w:ind w:left="210"/>
      <w:jc w:val="left"/>
    </w:pPr>
    <w:rPr>
      <w:smallCaps/>
      <w:sz w:val="20"/>
      <w:szCs w:val="20"/>
    </w:rPr>
  </w:style>
  <w:style w:type="paragraph" w:styleId="18">
    <w:name w:val="toc 9"/>
    <w:basedOn w:val="1"/>
    <w:next w:val="1"/>
    <w:semiHidden/>
    <w:qFormat/>
    <w:uiPriority w:val="0"/>
    <w:pPr>
      <w:ind w:left="1680"/>
      <w:jc w:val="left"/>
    </w:pPr>
    <w:rPr>
      <w:sz w:val="18"/>
      <w:szCs w:val="18"/>
    </w:rPr>
  </w:style>
  <w:style w:type="paragraph" w:styleId="19">
    <w:name w:val="HTML Preformatted"/>
    <w:basedOn w:val="1"/>
    <w:link w:val="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0">
    <w:name w:val="annotation subject"/>
    <w:basedOn w:val="5"/>
    <w:next w:val="5"/>
    <w:link w:val="41"/>
    <w:semiHidden/>
    <w:unhideWhenUsed/>
    <w:qFormat/>
    <w:uiPriority w:val="99"/>
    <w:rPr>
      <w:b/>
      <w:bCs/>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qFormat/>
    <w:uiPriority w:val="0"/>
    <w:rPr>
      <w:color w:val="0000FF"/>
      <w:u w:val="single"/>
    </w:rPr>
  </w:style>
  <w:style w:type="character" w:styleId="26">
    <w:name w:val="annotation reference"/>
    <w:basedOn w:val="23"/>
    <w:semiHidden/>
    <w:unhideWhenUsed/>
    <w:qFormat/>
    <w:uiPriority w:val="99"/>
    <w:rPr>
      <w:sz w:val="21"/>
      <w:szCs w:val="21"/>
    </w:rPr>
  </w:style>
  <w:style w:type="paragraph" w:customStyle="1" w:styleId="27">
    <w:name w:val="Char"/>
    <w:basedOn w:val="1"/>
    <w:qFormat/>
    <w:uiPriority w:val="0"/>
  </w:style>
  <w:style w:type="character" w:customStyle="1" w:styleId="28">
    <w:name w:val="标题 1 Char"/>
    <w:basedOn w:val="23"/>
    <w:link w:val="2"/>
    <w:qFormat/>
    <w:uiPriority w:val="0"/>
    <w:rPr>
      <w:rFonts w:ascii="Times New Roman" w:hAnsi="Times New Roman" w:eastAsia="宋体" w:cs="Times New Roman"/>
      <w:b/>
      <w:bCs/>
      <w:kern w:val="44"/>
      <w:sz w:val="44"/>
      <w:szCs w:val="44"/>
    </w:rPr>
  </w:style>
  <w:style w:type="character" w:customStyle="1" w:styleId="29">
    <w:name w:val="标题 2 Char"/>
    <w:basedOn w:val="23"/>
    <w:link w:val="3"/>
    <w:qFormat/>
    <w:uiPriority w:val="0"/>
    <w:rPr>
      <w:rFonts w:ascii="Arial" w:hAnsi="Arial" w:eastAsia="黑体" w:cs="Times New Roman"/>
      <w:b/>
      <w:bCs/>
      <w:sz w:val="32"/>
      <w:szCs w:val="32"/>
    </w:rPr>
  </w:style>
  <w:style w:type="character" w:customStyle="1" w:styleId="30">
    <w:name w:val="HTML 预设格式 Char"/>
    <w:basedOn w:val="23"/>
    <w:link w:val="19"/>
    <w:qFormat/>
    <w:uiPriority w:val="0"/>
    <w:rPr>
      <w:rFonts w:ascii="宋体" w:hAnsi="宋体" w:eastAsia="宋体" w:cs="宋体"/>
      <w:kern w:val="0"/>
      <w:sz w:val="24"/>
      <w:szCs w:val="24"/>
    </w:rPr>
  </w:style>
  <w:style w:type="character" w:customStyle="1" w:styleId="31">
    <w:name w:val="页脚 Char"/>
    <w:basedOn w:val="23"/>
    <w:link w:val="12"/>
    <w:qFormat/>
    <w:uiPriority w:val="0"/>
    <w:rPr>
      <w:rFonts w:ascii="Times New Roman" w:hAnsi="Times New Roman" w:eastAsia="宋体" w:cs="Times New Roman"/>
      <w:sz w:val="18"/>
      <w:szCs w:val="18"/>
    </w:rPr>
  </w:style>
  <w:style w:type="paragraph" w:customStyle="1" w:styleId="32">
    <w:name w:val="_Style 2"/>
    <w:basedOn w:val="1"/>
    <w:qFormat/>
    <w:uiPriority w:val="0"/>
  </w:style>
  <w:style w:type="paragraph" w:customStyle="1" w:styleId="33">
    <w:name w:val="样式1"/>
    <w:basedOn w:val="19"/>
    <w:qFormat/>
    <w:uiPriority w:val="0"/>
    <w:pPr>
      <w:spacing w:line="500" w:lineRule="exact"/>
    </w:pPr>
    <w:rPr>
      <w:b/>
    </w:rPr>
  </w:style>
  <w:style w:type="paragraph" w:customStyle="1" w:styleId="34">
    <w:name w:val="aux1"/>
    <w:basedOn w:val="1"/>
    <w:qFormat/>
    <w:uiPriority w:val="0"/>
    <w:pPr>
      <w:widowControl/>
      <w:spacing w:line="320" w:lineRule="atLeast"/>
      <w:jc w:val="left"/>
    </w:pPr>
    <w:rPr>
      <w:rFonts w:ascii="宋体" w:hAnsi="宋体" w:cs="宋体"/>
      <w:kern w:val="0"/>
      <w:sz w:val="24"/>
    </w:rPr>
  </w:style>
  <w:style w:type="character" w:customStyle="1" w:styleId="35">
    <w:name w:val="页眉 Char"/>
    <w:basedOn w:val="23"/>
    <w:link w:val="13"/>
    <w:qFormat/>
    <w:uiPriority w:val="0"/>
    <w:rPr>
      <w:rFonts w:ascii="Times New Roman" w:hAnsi="Times New Roman" w:eastAsia="宋体" w:cs="Times New Roman"/>
      <w:sz w:val="18"/>
      <w:szCs w:val="18"/>
    </w:rPr>
  </w:style>
  <w:style w:type="paragraph" w:customStyle="1" w:styleId="36">
    <w:name w:val="Char Char Char Char Char1 Char Char Char"/>
    <w:basedOn w:val="1"/>
    <w:qFormat/>
    <w:uiPriority w:val="0"/>
    <w:pPr>
      <w:widowControl/>
      <w:spacing w:after="160" w:line="240" w:lineRule="exact"/>
      <w:jc w:val="left"/>
    </w:pPr>
    <w:rPr>
      <w:rFonts w:ascii="Verdana" w:hAnsi="Verdana" w:eastAsia="MS Mincho" w:cs="Verdana"/>
      <w:kern w:val="0"/>
      <w:sz w:val="20"/>
      <w:szCs w:val="20"/>
      <w:lang w:eastAsia="en-US"/>
    </w:rPr>
  </w:style>
  <w:style w:type="character" w:customStyle="1" w:styleId="37">
    <w:name w:val="正文文本缩进 Char"/>
    <w:basedOn w:val="23"/>
    <w:link w:val="6"/>
    <w:qFormat/>
    <w:uiPriority w:val="0"/>
    <w:rPr>
      <w:rFonts w:ascii="Times New Roman" w:hAnsi="Times New Roman" w:eastAsia="宋体" w:cs="Times New Roman"/>
      <w:sz w:val="28"/>
      <w:szCs w:val="20"/>
    </w:rPr>
  </w:style>
  <w:style w:type="character" w:customStyle="1" w:styleId="38">
    <w:name w:val="纯文本 Char"/>
    <w:basedOn w:val="23"/>
    <w:link w:val="9"/>
    <w:qFormat/>
    <w:uiPriority w:val="0"/>
    <w:rPr>
      <w:rFonts w:ascii="宋体" w:hAnsi="Courier New" w:eastAsia="宋体" w:cs="Times New Roman"/>
      <w:szCs w:val="21"/>
    </w:rPr>
  </w:style>
  <w:style w:type="character" w:customStyle="1" w:styleId="39">
    <w:name w:val="批注框文本 Char"/>
    <w:basedOn w:val="23"/>
    <w:link w:val="11"/>
    <w:semiHidden/>
    <w:qFormat/>
    <w:uiPriority w:val="99"/>
    <w:rPr>
      <w:rFonts w:ascii="Times New Roman" w:hAnsi="Times New Roman" w:eastAsia="宋体" w:cs="Times New Roman"/>
      <w:sz w:val="18"/>
      <w:szCs w:val="18"/>
    </w:rPr>
  </w:style>
  <w:style w:type="character" w:customStyle="1" w:styleId="40">
    <w:name w:val="批注文字 Char"/>
    <w:basedOn w:val="23"/>
    <w:link w:val="5"/>
    <w:semiHidden/>
    <w:qFormat/>
    <w:uiPriority w:val="99"/>
    <w:rPr>
      <w:rFonts w:ascii="Times New Roman" w:hAnsi="Times New Roman" w:eastAsia="宋体" w:cs="Times New Roman"/>
      <w:szCs w:val="24"/>
    </w:rPr>
  </w:style>
  <w:style w:type="character" w:customStyle="1" w:styleId="41">
    <w:name w:val="批注主题 Char"/>
    <w:basedOn w:val="40"/>
    <w:link w:val="20"/>
    <w:semiHidden/>
    <w:qFormat/>
    <w:uiPriority w:val="99"/>
    <w:rPr>
      <w:rFonts w:ascii="Times New Roman" w:hAnsi="Times New Roman" w:eastAsia="宋体" w:cs="Times New Roman"/>
      <w:b/>
      <w:bCs/>
      <w:szCs w:val="24"/>
    </w:rPr>
  </w:style>
  <w:style w:type="paragraph" w:customStyle="1" w:styleId="4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43">
    <w:name w:val="EndNote Bibliography Title"/>
    <w:basedOn w:val="1"/>
    <w:link w:val="44"/>
    <w:qFormat/>
    <w:uiPriority w:val="0"/>
    <w:pPr>
      <w:jc w:val="center"/>
    </w:pPr>
    <w:rPr>
      <w:rFonts w:ascii="宋体" w:hAnsi="宋体"/>
      <w:sz w:val="24"/>
    </w:rPr>
  </w:style>
  <w:style w:type="character" w:customStyle="1" w:styleId="44">
    <w:name w:val="EndNote Bibliography Title 字符"/>
    <w:basedOn w:val="30"/>
    <w:link w:val="43"/>
    <w:qFormat/>
    <w:uiPriority w:val="0"/>
    <w:rPr>
      <w:rFonts w:ascii="宋体" w:hAnsi="宋体" w:eastAsia="宋体" w:cs="Times New Roman"/>
      <w:kern w:val="0"/>
      <w:sz w:val="24"/>
      <w:szCs w:val="24"/>
    </w:rPr>
  </w:style>
  <w:style w:type="paragraph" w:customStyle="1" w:styleId="45">
    <w:name w:val="EndNote Bibliography"/>
    <w:basedOn w:val="1"/>
    <w:link w:val="46"/>
    <w:qFormat/>
    <w:uiPriority w:val="0"/>
    <w:pPr>
      <w:jc w:val="left"/>
    </w:pPr>
    <w:rPr>
      <w:rFonts w:ascii="宋体" w:hAnsi="宋体"/>
      <w:sz w:val="24"/>
    </w:rPr>
  </w:style>
  <w:style w:type="character" w:customStyle="1" w:styleId="46">
    <w:name w:val="EndNote Bibliography 字符"/>
    <w:basedOn w:val="30"/>
    <w:link w:val="45"/>
    <w:qFormat/>
    <w:uiPriority w:val="0"/>
    <w:rPr>
      <w:rFonts w:ascii="宋体" w:hAnsi="宋体" w:eastAsia="宋体" w:cs="Times New Roman"/>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tif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CBB5F-E64D-475D-90C6-BD456CE9269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33</Pages>
  <Words>17580</Words>
  <Characters>25710</Characters>
  <Lines>109</Lines>
  <Paragraphs>30</Paragraphs>
  <TotalTime>225</TotalTime>
  <ScaleCrop>false</ScaleCrop>
  <LinksUpToDate>false</LinksUpToDate>
  <CharactersWithSpaces>27421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2021-11-12T02:12:00Z</dcterms:created>
  <dc:creator>李文捷</dc:creator>
  <cp:lastModifiedBy>～0℃</cp:lastModifiedBy>
  <dcterms:modified xsi:type="dcterms:W3CDTF">2024-08-16T02:50:55Z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A9C962BDE0D3422FAB0FB515FEFB1376</vt:lpwstr>
  </property>
</Properties>
</file>